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8DA8" w14:textId="77777777" w:rsidR="00CA5BF5" w:rsidRDefault="00E151D6" w:rsidP="00CA5BF5">
      <w:pPr>
        <w:pStyle w:val="F2-zkladn"/>
        <w:spacing w:line="276" w:lineRule="auto"/>
        <w:rPr>
          <w:b/>
          <w:sz w:val="28"/>
          <w:szCs w:val="28"/>
        </w:rPr>
      </w:pPr>
      <w:r>
        <w:rPr>
          <w:b/>
          <w:sz w:val="28"/>
          <w:szCs w:val="28"/>
        </w:rPr>
        <w:t>ANALÝZA</w:t>
      </w:r>
    </w:p>
    <w:p w14:paraId="62BCEAB8" w14:textId="0E5F6D20"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E01FF7">
        <w:t>4</w:t>
      </w:r>
      <w:r w:rsidR="005420B4" w:rsidRPr="00893890">
        <w:t>.</w:t>
      </w:r>
      <w:r w:rsidR="00296EFF">
        <w:t xml:space="preserve"> </w:t>
      </w:r>
      <w:r w:rsidR="00E01FF7">
        <w:t>června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2FD2086A" w14:textId="1CB127AD" w:rsidR="00E01FF7" w:rsidRPr="00E01FF7" w:rsidRDefault="00343CFF" w:rsidP="00E01FF7">
      <w:pPr>
        <w:pStyle w:val="paragraph"/>
        <w:spacing w:before="0" w:after="0" w:line="276" w:lineRule="auto"/>
        <w:textAlignment w:val="baseline"/>
        <w:rPr>
          <w:rStyle w:val="normaltextrun"/>
          <w:rFonts w:ascii="Arial" w:hAnsi="Arial" w:cs="Arial"/>
          <w:b/>
          <w:bCs/>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w:t>
      </w:r>
      <w:proofErr w:type="spellStart"/>
      <w:r w:rsidR="00E01FF7">
        <w:rPr>
          <w:rStyle w:val="normaltextrun"/>
          <w:rFonts w:ascii="Arial" w:hAnsi="Arial" w:cs="Arial"/>
          <w:b/>
          <w:bCs/>
          <w:color w:val="000000"/>
          <w:sz w:val="28"/>
          <w:szCs w:val="28"/>
          <w:lang w:val="cs-CZ"/>
        </w:rPr>
        <w:t>Funds</w:t>
      </w:r>
      <w:proofErr w:type="spellEnd"/>
      <w:r w:rsidR="00E01FF7">
        <w:rPr>
          <w:rStyle w:val="normaltextrun"/>
          <w:rFonts w:ascii="Arial" w:hAnsi="Arial" w:cs="Arial"/>
          <w:b/>
          <w:bCs/>
          <w:color w:val="000000"/>
          <w:sz w:val="28"/>
          <w:szCs w:val="28"/>
          <w:lang w:val="cs-CZ"/>
        </w:rPr>
        <w:t xml:space="preserve"> </w:t>
      </w:r>
      <w:r w:rsidR="00E01FF7" w:rsidRPr="00E01FF7">
        <w:rPr>
          <w:rStyle w:val="normaltextrun"/>
          <w:rFonts w:ascii="Arial" w:hAnsi="Arial" w:cs="Arial"/>
          <w:b/>
          <w:bCs/>
          <w:color w:val="000000"/>
          <w:sz w:val="28"/>
          <w:szCs w:val="28"/>
          <w:lang w:val="cs-CZ"/>
        </w:rPr>
        <w:t xml:space="preserve">– Aktuální informace o fondu </w:t>
      </w:r>
      <w:proofErr w:type="spellStart"/>
      <w:r w:rsidR="00E01FF7" w:rsidRPr="00E01FF7">
        <w:rPr>
          <w:rStyle w:val="normaltextrun"/>
          <w:rFonts w:ascii="Arial" w:hAnsi="Arial" w:cs="Arial"/>
          <w:b/>
          <w:bCs/>
          <w:color w:val="000000"/>
          <w:sz w:val="28"/>
          <w:szCs w:val="28"/>
          <w:lang w:val="cs-CZ"/>
        </w:rPr>
        <w:t>Absolute</w:t>
      </w:r>
      <w:proofErr w:type="spellEnd"/>
      <w:r w:rsidR="00E01FF7" w:rsidRPr="00E01FF7">
        <w:rPr>
          <w:rStyle w:val="normaltextrun"/>
          <w:rFonts w:ascii="Arial" w:hAnsi="Arial" w:cs="Arial"/>
          <w:b/>
          <w:bCs/>
          <w:color w:val="000000"/>
          <w:sz w:val="28"/>
          <w:szCs w:val="28"/>
          <w:lang w:val="cs-CZ"/>
        </w:rPr>
        <w:t xml:space="preserve"> Return </w:t>
      </w:r>
      <w:proofErr w:type="spellStart"/>
      <w:r w:rsidR="00E01FF7" w:rsidRPr="00E01FF7">
        <w:rPr>
          <w:rStyle w:val="normaltextrun"/>
          <w:rFonts w:ascii="Arial" w:hAnsi="Arial" w:cs="Arial"/>
          <w:b/>
          <w:bCs/>
          <w:color w:val="000000"/>
          <w:sz w:val="28"/>
          <w:szCs w:val="28"/>
          <w:lang w:val="cs-CZ"/>
        </w:rPr>
        <w:t>Global</w:t>
      </w:r>
      <w:proofErr w:type="spellEnd"/>
      <w:r w:rsidR="00E01FF7" w:rsidRPr="00E01FF7">
        <w:rPr>
          <w:rStyle w:val="normaltextrun"/>
          <w:rFonts w:ascii="Arial" w:hAnsi="Arial" w:cs="Arial"/>
          <w:b/>
          <w:bCs/>
          <w:color w:val="000000"/>
          <w:sz w:val="28"/>
          <w:szCs w:val="28"/>
          <w:lang w:val="cs-CZ"/>
        </w:rPr>
        <w:t xml:space="preserve"> </w:t>
      </w:r>
      <w:proofErr w:type="spellStart"/>
      <w:r w:rsidR="00E01FF7" w:rsidRPr="00E01FF7">
        <w:rPr>
          <w:rStyle w:val="normaltextrun"/>
          <w:rFonts w:ascii="Arial" w:hAnsi="Arial" w:cs="Arial"/>
          <w:b/>
          <w:bCs/>
          <w:color w:val="000000"/>
          <w:sz w:val="28"/>
          <w:szCs w:val="28"/>
          <w:lang w:val="cs-CZ"/>
        </w:rPr>
        <w:t>Equity</w:t>
      </w:r>
      <w:proofErr w:type="spellEnd"/>
      <w:r w:rsidR="00E01FF7" w:rsidRPr="00E01FF7">
        <w:rPr>
          <w:rStyle w:val="normaltextrun"/>
          <w:rFonts w:ascii="Arial" w:hAnsi="Arial" w:cs="Arial"/>
          <w:b/>
          <w:bCs/>
          <w:color w:val="000000"/>
          <w:sz w:val="28"/>
          <w:szCs w:val="28"/>
          <w:lang w:val="cs-CZ"/>
        </w:rPr>
        <w:t xml:space="preserve"> </w:t>
      </w:r>
      <w:proofErr w:type="spellStart"/>
      <w:r w:rsidR="00E01FF7" w:rsidRPr="00E01FF7">
        <w:rPr>
          <w:rStyle w:val="normaltextrun"/>
          <w:rFonts w:ascii="Arial" w:hAnsi="Arial" w:cs="Arial"/>
          <w:b/>
          <w:bCs/>
          <w:color w:val="000000"/>
          <w:sz w:val="28"/>
          <w:szCs w:val="28"/>
          <w:lang w:val="cs-CZ"/>
        </w:rPr>
        <w:t>Fund</w:t>
      </w:r>
      <w:proofErr w:type="spellEnd"/>
      <w:r w:rsidR="00E01FF7" w:rsidRPr="00E01FF7">
        <w:rPr>
          <w:rStyle w:val="normaltextrun"/>
          <w:rFonts w:ascii="Arial" w:hAnsi="Arial" w:cs="Arial"/>
          <w:b/>
          <w:bCs/>
          <w:color w:val="000000"/>
          <w:sz w:val="28"/>
          <w:szCs w:val="28"/>
          <w:lang w:val="cs-CZ"/>
        </w:rPr>
        <w:t xml:space="preserve"> – 1. čtvrtletí roku 2025</w:t>
      </w:r>
    </w:p>
    <w:p w14:paraId="7479E344" w14:textId="18EC1EFB" w:rsidR="00D8553D" w:rsidRPr="00D8553D" w:rsidRDefault="00E01FF7" w:rsidP="00D8553D">
      <w:pPr>
        <w:pStyle w:val="F2-zkladn"/>
        <w:rPr>
          <w:rFonts w:asciiTheme="minorHAnsi" w:hAnsiTheme="minorHAnsi" w:cstheme="minorHAnsi"/>
          <w:b/>
          <w:bCs/>
          <w:sz w:val="24"/>
          <w:szCs w:val="24"/>
        </w:rPr>
      </w:pPr>
      <w:proofErr w:type="spellStart"/>
      <w:r>
        <w:rPr>
          <w:rFonts w:asciiTheme="minorHAnsi" w:hAnsiTheme="minorHAnsi" w:cstheme="minorHAnsi"/>
          <w:b/>
          <w:bCs/>
          <w:sz w:val="24"/>
          <w:szCs w:val="24"/>
        </w:rPr>
        <w:t>Matt</w:t>
      </w:r>
      <w:proofErr w:type="spellEnd"/>
      <w:r>
        <w:rPr>
          <w:rFonts w:asciiTheme="minorHAnsi" w:hAnsiTheme="minorHAnsi" w:cstheme="minorHAnsi"/>
          <w:b/>
          <w:bCs/>
          <w:sz w:val="24"/>
          <w:szCs w:val="24"/>
        </w:rPr>
        <w:t xml:space="preserve"> Jones a </w:t>
      </w:r>
      <w:proofErr w:type="spellStart"/>
      <w:r>
        <w:rPr>
          <w:rFonts w:asciiTheme="minorHAnsi" w:hAnsiTheme="minorHAnsi" w:cstheme="minorHAnsi"/>
          <w:b/>
          <w:bCs/>
          <w:sz w:val="24"/>
          <w:szCs w:val="24"/>
        </w:rPr>
        <w:t>Hiten</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Savani</w:t>
      </w:r>
      <w:proofErr w:type="spellEnd"/>
      <w:r>
        <w:rPr>
          <w:rFonts w:asciiTheme="minorHAnsi" w:hAnsiTheme="minorHAnsi" w:cstheme="minorHAnsi"/>
          <w:b/>
          <w:bCs/>
          <w:sz w:val="24"/>
          <w:szCs w:val="24"/>
        </w:rPr>
        <w:t xml:space="preserve">, portfolio manažeři fondu FF </w:t>
      </w:r>
      <w:r w:rsidRPr="00E01FF7">
        <w:rPr>
          <w:rFonts w:asciiTheme="minorHAnsi" w:hAnsiTheme="minorHAnsi" w:cstheme="minorHAnsi"/>
          <w:b/>
          <w:bCs/>
          <w:sz w:val="24"/>
          <w:szCs w:val="24"/>
        </w:rPr>
        <w:t xml:space="preserve">– </w:t>
      </w:r>
      <w:proofErr w:type="spellStart"/>
      <w:r w:rsidRPr="00E01FF7">
        <w:rPr>
          <w:rFonts w:asciiTheme="minorHAnsi" w:hAnsiTheme="minorHAnsi" w:cstheme="minorHAnsi"/>
          <w:b/>
          <w:bCs/>
          <w:sz w:val="24"/>
          <w:szCs w:val="24"/>
        </w:rPr>
        <w:t>Absolute</w:t>
      </w:r>
      <w:proofErr w:type="spellEnd"/>
      <w:r>
        <w:rPr>
          <w:rFonts w:asciiTheme="minorHAnsi" w:hAnsiTheme="minorHAnsi" w:cstheme="minorHAnsi"/>
          <w:b/>
          <w:bCs/>
          <w:sz w:val="24"/>
          <w:szCs w:val="24"/>
        </w:rPr>
        <w:t xml:space="preserve"> Return </w:t>
      </w:r>
      <w:proofErr w:type="spellStart"/>
      <w:r>
        <w:rPr>
          <w:rFonts w:asciiTheme="minorHAnsi" w:hAnsiTheme="minorHAnsi" w:cstheme="minorHAnsi"/>
          <w:b/>
          <w:bCs/>
          <w:sz w:val="24"/>
          <w:szCs w:val="24"/>
        </w:rPr>
        <w:t>Global</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Equity</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Fund</w:t>
      </w:r>
      <w:proofErr w:type="spellEnd"/>
      <w:r>
        <w:rPr>
          <w:rFonts w:asciiTheme="minorHAnsi" w:hAnsiTheme="minorHAnsi" w:cstheme="minorHAnsi"/>
          <w:b/>
          <w:bCs/>
          <w:sz w:val="24"/>
          <w:szCs w:val="24"/>
        </w:rPr>
        <w:t>, poskytují čtvrtletní aktuální informace o jimi spravované tržně neutrální strategii. V bouřlivém prvním čtvrtletí dosahovala strategie konzistentně lepších výsledků bez ohledu na širší pohyby na trhu, změny stylů a volatilitu trhu.</w:t>
      </w:r>
    </w:p>
    <w:p w14:paraId="4AEDB08D" w14:textId="32F99180" w:rsidR="00E01FF7" w:rsidRPr="00E01FF7" w:rsidRDefault="00E01FF7" w:rsidP="00E01FF7">
      <w:pPr>
        <w:rPr>
          <w:b/>
          <w:bCs/>
        </w:rPr>
      </w:pPr>
      <w:r>
        <w:rPr>
          <w:b/>
          <w:bCs/>
        </w:rPr>
        <w:t xml:space="preserve">Situace na trhu </w:t>
      </w:r>
      <w:r w:rsidRPr="00E01FF7">
        <w:rPr>
          <w:b/>
          <w:bCs/>
        </w:rPr>
        <w:t>– 1. čtvrtletí 2025</w:t>
      </w:r>
    </w:p>
    <w:p w14:paraId="49F3F6C8" w14:textId="199314F5" w:rsidR="00E01FF7" w:rsidRPr="00E01FF7" w:rsidRDefault="00E01FF7" w:rsidP="00E01FF7">
      <w:pPr>
        <w:spacing w:line="360" w:lineRule="auto"/>
      </w:pPr>
      <w:r w:rsidRPr="00E01FF7">
        <w:t>Globální akcie zažily v 1. čtvrtletí 2025 volatilní vývoj, který byl zpočátku podpořen dezinflačním optimismem, ale později zasažen obnoveným geopolitickým napětím. Začátkem dubna pak americká administrativa oznámila rozsáhlá cla a následné odvetné hrozby ze strany EU a Číny zneklidnily trhy – zejména exportní a růstová odvětví.</w:t>
      </w:r>
    </w:p>
    <w:p w14:paraId="2F4F3644" w14:textId="77777777" w:rsidR="00E01FF7" w:rsidRPr="00E01FF7" w:rsidRDefault="00E01FF7" w:rsidP="00E01FF7">
      <w:pPr>
        <w:spacing w:line="360" w:lineRule="auto"/>
      </w:pPr>
      <w:r w:rsidRPr="00E01FF7">
        <w:t>Samotné čtvrtletí bylo poznamenáno hrozbou politických změn, během nichž Evropa zůstala relativně odolná díky fiskálním stimulům, zatímco USA zaostávaly kvůli slabinám v technologickém a spotřebitelském sektoru firem s velkou tržní kapitalizací. Rozvíjející se trhy vykázaly smíšené výsledky, přičemž Čína se díky politické podpoře odrazila ode dna a severní Asie dosáhla horších výsledků.</w:t>
      </w:r>
    </w:p>
    <w:p w14:paraId="0CE19FDB" w14:textId="77777777" w:rsidR="00E01FF7" w:rsidRPr="00E01FF7" w:rsidRDefault="00E01FF7" w:rsidP="00E01FF7">
      <w:pPr>
        <w:spacing w:line="360" w:lineRule="auto"/>
      </w:pPr>
      <w:r w:rsidRPr="00E01FF7">
        <w:t>Zvýšené napětí v obchodování vyvolalo pozoruhodný obrat ve stylu, kdy se investoři přesunuli od globálně exponovaných růstových akcií k hodnotově orientovaným sektorům zaměřeným na domácí trh, jako jsou finanční, energetické a veřejné služby. V rámci trhů s pevným výnosem dosáhly úvěrové trhy kladných celkových výnosů, ale nedosáhly lepších výsledků než státní dluhopisy, protože se rozšířily spready kvůli volatilitě související s obchodem a obavám o růst.</w:t>
      </w:r>
    </w:p>
    <w:p w14:paraId="2B01BFBE" w14:textId="77777777" w:rsidR="00E01FF7" w:rsidRDefault="00E01FF7" w:rsidP="00E01FF7">
      <w:pPr>
        <w:rPr>
          <w:b/>
          <w:bCs/>
        </w:rPr>
      </w:pPr>
    </w:p>
    <w:p w14:paraId="268BA154" w14:textId="77777777" w:rsidR="00E01FF7" w:rsidRDefault="00E01FF7" w:rsidP="00E01FF7">
      <w:pPr>
        <w:rPr>
          <w:b/>
          <w:bCs/>
        </w:rPr>
      </w:pPr>
    </w:p>
    <w:p w14:paraId="2DA84515" w14:textId="77777777" w:rsidR="00E01FF7" w:rsidRDefault="00E01FF7" w:rsidP="00E01FF7">
      <w:pPr>
        <w:rPr>
          <w:b/>
          <w:bCs/>
        </w:rPr>
      </w:pPr>
    </w:p>
    <w:p w14:paraId="5EA3DF98" w14:textId="77777777" w:rsidR="00E01FF7" w:rsidRDefault="00E01FF7" w:rsidP="00E01FF7">
      <w:pPr>
        <w:rPr>
          <w:b/>
          <w:bCs/>
        </w:rPr>
      </w:pPr>
    </w:p>
    <w:p w14:paraId="6BC0AA4B" w14:textId="77777777" w:rsidR="00E01FF7" w:rsidRDefault="00E01FF7" w:rsidP="00E01FF7">
      <w:pPr>
        <w:rPr>
          <w:b/>
          <w:bCs/>
        </w:rPr>
      </w:pPr>
    </w:p>
    <w:p w14:paraId="35A59FDC" w14:textId="77777777" w:rsidR="00E01FF7" w:rsidRDefault="00E01FF7" w:rsidP="00E01FF7">
      <w:pPr>
        <w:rPr>
          <w:b/>
          <w:bCs/>
        </w:rPr>
      </w:pPr>
    </w:p>
    <w:p w14:paraId="4B4DD086" w14:textId="77777777" w:rsidR="00E01FF7" w:rsidRDefault="00E01FF7" w:rsidP="00E01FF7">
      <w:pPr>
        <w:rPr>
          <w:b/>
          <w:bCs/>
        </w:rPr>
      </w:pPr>
    </w:p>
    <w:p w14:paraId="0643BB6C" w14:textId="2ED1E106" w:rsidR="00E01FF7" w:rsidRDefault="00E01FF7" w:rsidP="00E01FF7">
      <w:pPr>
        <w:rPr>
          <w:b/>
          <w:bCs/>
        </w:rPr>
      </w:pPr>
      <w:r>
        <w:rPr>
          <w:noProof/>
        </w:rPr>
        <w:lastRenderedPageBreak/>
        <w:drawing>
          <wp:anchor distT="0" distB="0" distL="114300" distR="114300" simplePos="0" relativeHeight="251658240" behindDoc="0" locked="0" layoutInCell="1" allowOverlap="1" wp14:anchorId="2FDCF4DB" wp14:editId="0DBB02C5">
            <wp:simplePos x="0" y="0"/>
            <wp:positionH relativeFrom="column">
              <wp:posOffset>-62230</wp:posOffset>
            </wp:positionH>
            <wp:positionV relativeFrom="paragraph">
              <wp:posOffset>243840</wp:posOffset>
            </wp:positionV>
            <wp:extent cx="5759450" cy="2781300"/>
            <wp:effectExtent l="0" t="0" r="0" b="0"/>
            <wp:wrapTopAndBottom/>
            <wp:docPr id="35326774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67744" name="Obrázek 353267744"/>
                    <pic:cNvPicPr/>
                  </pic:nvPicPr>
                  <pic:blipFill>
                    <a:blip r:embed="rId11">
                      <a:extLst>
                        <a:ext uri="{28A0092B-C50C-407E-A947-70E740481C1C}">
                          <a14:useLocalDpi xmlns:a14="http://schemas.microsoft.com/office/drawing/2010/main" val="0"/>
                        </a:ext>
                      </a:extLst>
                    </a:blip>
                    <a:stretch>
                      <a:fillRect/>
                    </a:stretch>
                  </pic:blipFill>
                  <pic:spPr>
                    <a:xfrm>
                      <a:off x="0" y="0"/>
                      <a:ext cx="5759450" cy="2781300"/>
                    </a:xfrm>
                    <a:prstGeom prst="rect">
                      <a:avLst/>
                    </a:prstGeom>
                  </pic:spPr>
                </pic:pic>
              </a:graphicData>
            </a:graphic>
          </wp:anchor>
        </w:drawing>
      </w:r>
      <w:r>
        <w:rPr>
          <w:b/>
          <w:bCs/>
        </w:rPr>
        <w:t>Trhy v pohybu: výnosy tříd aktiv za 1. čtvrtletí 2025, % (USD)</w:t>
      </w:r>
    </w:p>
    <w:p w14:paraId="21C22725" w14:textId="031CDA1A" w:rsidR="00E01FF7" w:rsidRPr="00E01FF7" w:rsidRDefault="00E01FF7" w:rsidP="00E01FF7">
      <w:pPr>
        <w:pStyle w:val="F2-zkladn"/>
        <w:rPr>
          <w:i/>
          <w:iCs/>
          <w:sz w:val="16"/>
          <w:szCs w:val="16"/>
        </w:rPr>
      </w:pPr>
      <w:r w:rsidRPr="00E01FF7">
        <w:rPr>
          <w:i/>
          <w:iCs/>
          <w:sz w:val="16"/>
          <w:szCs w:val="16"/>
        </w:rPr>
        <w:t xml:space="preserve">Zdroj: LSEG </w:t>
      </w:r>
      <w:proofErr w:type="spellStart"/>
      <w:r w:rsidRPr="00E01FF7">
        <w:rPr>
          <w:i/>
          <w:iCs/>
          <w:sz w:val="16"/>
          <w:szCs w:val="16"/>
        </w:rPr>
        <w:t>Datastream</w:t>
      </w:r>
      <w:proofErr w:type="spellEnd"/>
      <w:r w:rsidRPr="00E01FF7">
        <w:rPr>
          <w:i/>
          <w:iCs/>
          <w:sz w:val="16"/>
          <w:szCs w:val="16"/>
        </w:rPr>
        <w:t>, data k 31. březnu 2025. *Použili jsme data příslušných indexů MSCI, která odrážejí výkonnost sektorů/regionů/stylů.</w:t>
      </w:r>
    </w:p>
    <w:p w14:paraId="0A2FCE9F" w14:textId="1BBEE556" w:rsidR="00E01FF7" w:rsidRPr="00E01FF7" w:rsidRDefault="00E01FF7" w:rsidP="00CA5BF5">
      <w:r w:rsidRPr="00E01FF7">
        <w:t>Volatilita na trzích se po konci čtvrtletí v dubnu po oznámení cel v Den osvobození („</w:t>
      </w:r>
      <w:proofErr w:type="spellStart"/>
      <w:r w:rsidRPr="00E01FF7">
        <w:t>Liberation</w:t>
      </w:r>
      <w:proofErr w:type="spellEnd"/>
      <w:r w:rsidRPr="00E01FF7">
        <w:t xml:space="preserve"> </w:t>
      </w:r>
      <w:proofErr w:type="spellStart"/>
      <w:r w:rsidRPr="00E01FF7">
        <w:t>Day</w:t>
      </w:r>
      <w:proofErr w:type="spellEnd"/>
      <w:r w:rsidRPr="00E01FF7">
        <w:t xml:space="preserve">“) ještě zvýšila, protože dopady obchodní války byly na trzích zpracovávány. Zvýšil se potenciál hospodářské recese v USA a nejistota ohledně odvetných opatření ze strany zemí, jako je Čína, byla neznámá. Podle agentury </w:t>
      </w:r>
      <w:proofErr w:type="spellStart"/>
      <w:r w:rsidRPr="00E01FF7">
        <w:t>Bloomberg</w:t>
      </w:r>
      <w:proofErr w:type="spellEnd"/>
      <w:r w:rsidRPr="00E01FF7">
        <w:t xml:space="preserve"> překročil index VIX 8. dubna 2025 poprvé od dubna 20201 hodnotu 50, což odráží zvýšenou nejistotu na trhu.</w:t>
      </w:r>
    </w:p>
    <w:p w14:paraId="510C6679" w14:textId="4A58A8F5" w:rsidR="00E01FF7" w:rsidRDefault="00E01FF7" w:rsidP="00CA5BF5">
      <w:pPr>
        <w:rPr>
          <w:b/>
          <w:bCs/>
        </w:rPr>
      </w:pPr>
      <w:r>
        <w:rPr>
          <w:noProof/>
        </w:rPr>
        <w:drawing>
          <wp:anchor distT="0" distB="0" distL="114300" distR="114300" simplePos="0" relativeHeight="251659264" behindDoc="0" locked="0" layoutInCell="1" allowOverlap="1" wp14:anchorId="1ED0A2B4" wp14:editId="57E7B5E8">
            <wp:simplePos x="0" y="0"/>
            <wp:positionH relativeFrom="column">
              <wp:posOffset>-1270</wp:posOffset>
            </wp:positionH>
            <wp:positionV relativeFrom="paragraph">
              <wp:posOffset>419100</wp:posOffset>
            </wp:positionV>
            <wp:extent cx="5759450" cy="2452370"/>
            <wp:effectExtent l="0" t="0" r="0" b="5080"/>
            <wp:wrapTopAndBottom/>
            <wp:docPr id="181007719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77191" name="Obrázek 1810077191"/>
                    <pic:cNvPicPr/>
                  </pic:nvPicPr>
                  <pic:blipFill>
                    <a:blip r:embed="rId12">
                      <a:extLst>
                        <a:ext uri="{28A0092B-C50C-407E-A947-70E740481C1C}">
                          <a14:useLocalDpi xmlns:a14="http://schemas.microsoft.com/office/drawing/2010/main" val="0"/>
                        </a:ext>
                      </a:extLst>
                    </a:blip>
                    <a:stretch>
                      <a:fillRect/>
                    </a:stretch>
                  </pic:blipFill>
                  <pic:spPr>
                    <a:xfrm>
                      <a:off x="0" y="0"/>
                      <a:ext cx="5759450" cy="2452370"/>
                    </a:xfrm>
                    <a:prstGeom prst="rect">
                      <a:avLst/>
                    </a:prstGeom>
                  </pic:spPr>
                </pic:pic>
              </a:graphicData>
            </a:graphic>
          </wp:anchor>
        </w:drawing>
      </w:r>
      <w:r>
        <w:rPr>
          <w:b/>
          <w:bCs/>
        </w:rPr>
        <w:t>Volatilita ve hře</w:t>
      </w:r>
    </w:p>
    <w:p w14:paraId="3B7C913B" w14:textId="5BD15399" w:rsidR="00E01FF7" w:rsidRPr="008F19A4" w:rsidRDefault="008F19A4" w:rsidP="00E01FF7">
      <w:pPr>
        <w:pStyle w:val="F2-zkladn"/>
        <w:rPr>
          <w:i/>
          <w:iCs/>
          <w:sz w:val="16"/>
          <w:szCs w:val="16"/>
        </w:rPr>
      </w:pPr>
      <w:r w:rsidRPr="008F19A4">
        <w:rPr>
          <w:i/>
          <w:iCs/>
          <w:sz w:val="16"/>
          <w:szCs w:val="16"/>
        </w:rPr>
        <w:t xml:space="preserve">Zdroj: LSEG </w:t>
      </w:r>
      <w:proofErr w:type="spellStart"/>
      <w:r w:rsidRPr="008F19A4">
        <w:rPr>
          <w:i/>
          <w:iCs/>
          <w:sz w:val="16"/>
          <w:szCs w:val="16"/>
        </w:rPr>
        <w:t>Datastream</w:t>
      </w:r>
      <w:proofErr w:type="spellEnd"/>
      <w:r w:rsidRPr="008F19A4">
        <w:rPr>
          <w:i/>
          <w:iCs/>
          <w:sz w:val="16"/>
          <w:szCs w:val="16"/>
        </w:rPr>
        <w:t xml:space="preserve">, </w:t>
      </w:r>
      <w:proofErr w:type="spellStart"/>
      <w:r w:rsidRPr="008F19A4">
        <w:rPr>
          <w:i/>
          <w:iCs/>
          <w:sz w:val="16"/>
          <w:szCs w:val="16"/>
        </w:rPr>
        <w:t>Bloomberg</w:t>
      </w:r>
      <w:proofErr w:type="spellEnd"/>
      <w:r w:rsidRPr="008F19A4">
        <w:rPr>
          <w:i/>
          <w:iCs/>
          <w:sz w:val="16"/>
          <w:szCs w:val="16"/>
        </w:rPr>
        <w:t>, data k 9. dubnu</w:t>
      </w:r>
      <w:r>
        <w:rPr>
          <w:i/>
          <w:iCs/>
          <w:sz w:val="16"/>
          <w:szCs w:val="16"/>
        </w:rPr>
        <w:t xml:space="preserve"> </w:t>
      </w:r>
      <w:r w:rsidRPr="008F19A4">
        <w:rPr>
          <w:i/>
          <w:iCs/>
          <w:sz w:val="16"/>
          <w:szCs w:val="16"/>
        </w:rPr>
        <w:t>2025.</w:t>
      </w:r>
    </w:p>
    <w:p w14:paraId="6D810E00" w14:textId="77777777" w:rsidR="003F13C4" w:rsidRDefault="003F13C4" w:rsidP="003F13C4">
      <w:pPr>
        <w:pStyle w:val="F2-zkladn"/>
      </w:pPr>
    </w:p>
    <w:p w14:paraId="7BDEAE65" w14:textId="77777777" w:rsidR="008F19A4" w:rsidRDefault="008F19A4" w:rsidP="008D2B6E">
      <w:pPr>
        <w:rPr>
          <w:b/>
          <w:bCs/>
        </w:rPr>
      </w:pPr>
    </w:p>
    <w:p w14:paraId="7553744A" w14:textId="18E09C73" w:rsidR="008D2B6E" w:rsidRPr="009F6358" w:rsidRDefault="00CA5BF5" w:rsidP="008D2B6E">
      <w:r>
        <w:rPr>
          <w:b/>
          <w:bCs/>
        </w:rPr>
        <w:lastRenderedPageBreak/>
        <w:t xml:space="preserve">Přehled </w:t>
      </w:r>
      <w:r w:rsidR="008F19A4">
        <w:rPr>
          <w:b/>
          <w:bCs/>
        </w:rPr>
        <w:t>výkonnosti za 1. čtvrtletí 2025</w:t>
      </w:r>
    </w:p>
    <w:p w14:paraId="72F7A453" w14:textId="77777777" w:rsidR="008F19A4" w:rsidRPr="008F19A4" w:rsidRDefault="008F19A4" w:rsidP="008F19A4">
      <w:r w:rsidRPr="008F19A4">
        <w:t xml:space="preserve">Výkonnost fondu </w:t>
      </w:r>
      <w:proofErr w:type="spellStart"/>
      <w:r w:rsidRPr="008F19A4">
        <w:t>Fidelity</w:t>
      </w:r>
      <w:proofErr w:type="spellEnd"/>
      <w:r w:rsidRPr="008F19A4">
        <w:t xml:space="preserve"> </w:t>
      </w:r>
      <w:proofErr w:type="spellStart"/>
      <w:proofErr w:type="gramStart"/>
      <w:r w:rsidRPr="008F19A4">
        <w:t>Funds</w:t>
      </w:r>
      <w:proofErr w:type="spellEnd"/>
      <w:r w:rsidRPr="008F19A4">
        <w:t xml:space="preserve"> - </w:t>
      </w:r>
      <w:proofErr w:type="spellStart"/>
      <w:r w:rsidRPr="008F19A4">
        <w:t>Absolute</w:t>
      </w:r>
      <w:proofErr w:type="spellEnd"/>
      <w:proofErr w:type="gramEnd"/>
      <w:r w:rsidRPr="008F19A4">
        <w:t xml:space="preserve"> Return </w:t>
      </w:r>
      <w:proofErr w:type="spellStart"/>
      <w:r w:rsidRPr="008F19A4">
        <w:t>Global</w:t>
      </w:r>
      <w:proofErr w:type="spellEnd"/>
      <w:r w:rsidRPr="008F19A4">
        <w:t xml:space="preserve"> </w:t>
      </w:r>
      <w:proofErr w:type="spellStart"/>
      <w:r w:rsidRPr="008F19A4">
        <w:t>Equity</w:t>
      </w:r>
      <w:proofErr w:type="spellEnd"/>
      <w:r w:rsidRPr="008F19A4">
        <w:t xml:space="preserve"> </w:t>
      </w:r>
      <w:proofErr w:type="spellStart"/>
      <w:r w:rsidRPr="008F19A4">
        <w:t>Fund</w:t>
      </w:r>
      <w:proofErr w:type="spellEnd"/>
      <w:r w:rsidRPr="008F19A4">
        <w:t xml:space="preserve"> (ARGE) v 1. čtvrtletí svědčila o tržně neutrální koncepci strategie, která vykazuje neutralitu vůči riziku beta a dalším faktorům. Zatímco většina ostatních tříd aktiv prošla nerovnoměrným vývojem, tato strategie vykazovala v průběhu volatilního čtvrtletí konzistentní měsíční kladné výnosy, které nebyly do značné míry ovlivněny silnými pohyby beta a prudkými změnami stylu na trhu. Výnosy byly určeny převážně idiosynkratickou alfou s využitím informací z vlastního průzkumu společnosti Fidelity.</w:t>
      </w:r>
    </w:p>
    <w:p w14:paraId="21680255" w14:textId="4D59C4B7" w:rsidR="008F19A4" w:rsidRPr="008F19A4" w:rsidRDefault="008F19A4" w:rsidP="008F19A4">
      <w:r w:rsidRPr="008F19A4">
        <w:t>Fond dosáhl v daném čtvrtletí hrubého výnosu 3,4 % (3,2 % čistého výnosu podle třídy akcií Y-ACC-PF-USD) oproti úrokově SOFR (zajištěná jednodenní finanční sazba) ve výši 1,1 %. Většina alf byla způsobena výběrem akcií, zatímco ostatní faktory beta/odvětví/země/stylu atd. byly minimální. Výběr akcií v krátkých pozicích v portfoliu byl pozitivní a více než kompenzoval marginální ztráty z dlouhých pozic. Výběr akcií byl pozitivní ve většině sektorů, přičemž největší hodnotu přidávaly sektory spotřebního zboží a veřejných služeb, což bylo kompenzováno vybranými akciemi průmyslových podniků. Na regionální úrovni zvýšil výkonnost výběr akcií v Evropě bez Velké Británie, zatímco vybrané podíly v Severní Americe a Tichomoří bez Japonska také výrazně přidaly na hodnotě. Naopak vybrané podíly v Japonsku brzdily zisky.</w:t>
      </w:r>
    </w:p>
    <w:p w14:paraId="412EFC47" w14:textId="48A8D70A" w:rsidR="008F19A4" w:rsidRPr="008F19A4" w:rsidRDefault="008F19A4" w:rsidP="008F19A4">
      <w:r w:rsidRPr="008F19A4">
        <w:t xml:space="preserve">Na úrovni akcií přispěly k růstu především dlouhé pozice ve společnosti </w:t>
      </w:r>
      <w:proofErr w:type="spellStart"/>
      <w:r w:rsidRPr="008F19A4">
        <w:t>Guardant</w:t>
      </w:r>
      <w:proofErr w:type="spellEnd"/>
      <w:r w:rsidRPr="008F19A4">
        <w:t xml:space="preserve"> </w:t>
      </w:r>
      <w:proofErr w:type="spellStart"/>
      <w:r w:rsidRPr="008F19A4">
        <w:t>Health</w:t>
      </w:r>
      <w:proofErr w:type="spellEnd"/>
      <w:r w:rsidRPr="008F19A4">
        <w:t xml:space="preserve">, která se zabývá diagnostikou na bázi tekuté biopsie, ve společnosti </w:t>
      </w:r>
      <w:proofErr w:type="spellStart"/>
      <w:r w:rsidRPr="008F19A4">
        <w:t>Nexteer</w:t>
      </w:r>
      <w:proofErr w:type="spellEnd"/>
      <w:r w:rsidRPr="008F19A4">
        <w:t xml:space="preserve"> </w:t>
      </w:r>
      <w:proofErr w:type="spellStart"/>
      <w:r w:rsidRPr="008F19A4">
        <w:t>Automotive</w:t>
      </w:r>
      <w:proofErr w:type="spellEnd"/>
      <w:r w:rsidRPr="008F19A4">
        <w:t xml:space="preserve">, která je globální lídr v oblasti pokročilých systémů řízení a hnacích </w:t>
      </w:r>
      <w:r w:rsidR="009B5EC1">
        <w:t>strojů</w:t>
      </w:r>
      <w:r w:rsidRPr="008F19A4">
        <w:t xml:space="preserve">, a v evropském telekomunikačním operátorovi Tele2. Akcie společnosti </w:t>
      </w:r>
      <w:proofErr w:type="spellStart"/>
      <w:r w:rsidRPr="008F19A4">
        <w:t>Guardant</w:t>
      </w:r>
      <w:proofErr w:type="spellEnd"/>
      <w:r w:rsidRPr="008F19A4">
        <w:t xml:space="preserve"> </w:t>
      </w:r>
      <w:proofErr w:type="spellStart"/>
      <w:r w:rsidRPr="008F19A4">
        <w:t>Health</w:t>
      </w:r>
      <w:proofErr w:type="spellEnd"/>
      <w:r w:rsidRPr="008F19A4">
        <w:t xml:space="preserve"> v lednu vzrostly o 50 % díky rozšíření pokrytí zdravotního pojištění </w:t>
      </w:r>
      <w:proofErr w:type="spellStart"/>
      <w:r w:rsidRPr="008F19A4">
        <w:t>Medicare</w:t>
      </w:r>
      <w:proofErr w:type="spellEnd"/>
      <w:r w:rsidRPr="008F19A4">
        <w:t xml:space="preserve"> pro její krevní test na rakovinu tlustého střeva. Pozici jsme opustili až po zotavení cen. Akcie společnosti </w:t>
      </w:r>
      <w:proofErr w:type="spellStart"/>
      <w:r w:rsidRPr="008F19A4">
        <w:t>Nexteer</w:t>
      </w:r>
      <w:proofErr w:type="spellEnd"/>
      <w:r w:rsidRPr="008F19A4">
        <w:t xml:space="preserve"> vzrostly po zvýšení makléřských doporučení a konsensuálních odhadů zisku. Zatímco americká cla představují krátkodobé riziko, dlouhodobý potenciál vypadá atraktivně. Společnost </w:t>
      </w:r>
      <w:proofErr w:type="spellStart"/>
      <w:r w:rsidRPr="008F19A4">
        <w:t>Nexteer</w:t>
      </w:r>
      <w:proofErr w:type="spellEnd"/>
      <w:r w:rsidRPr="008F19A4">
        <w:t xml:space="preserve"> vykazuje známky oživení v Severní Americe a daří se jí v Číně, kde si zajistila úspěch v oblasti technologií řízení nové generace, jako je elektrický posilovač řízení REPS (</w:t>
      </w:r>
      <w:proofErr w:type="spellStart"/>
      <w:r w:rsidRPr="008F19A4">
        <w:t>Rack</w:t>
      </w:r>
      <w:proofErr w:type="spellEnd"/>
      <w:r w:rsidRPr="008F19A4">
        <w:t xml:space="preserve"> Electric </w:t>
      </w:r>
      <w:proofErr w:type="spellStart"/>
      <w:r w:rsidRPr="008F19A4">
        <w:t>Power</w:t>
      </w:r>
      <w:proofErr w:type="spellEnd"/>
      <w:r w:rsidRPr="008F19A4">
        <w:t xml:space="preserve"> </w:t>
      </w:r>
      <w:proofErr w:type="spellStart"/>
      <w:r w:rsidRPr="008F19A4">
        <w:t>Steering</w:t>
      </w:r>
      <w:proofErr w:type="spellEnd"/>
      <w:r w:rsidRPr="008F19A4">
        <w:t xml:space="preserve">), elektronické bez mechanického propojení </w:t>
      </w:r>
      <w:proofErr w:type="spellStart"/>
      <w:r w:rsidRPr="008F19A4">
        <w:t>SbW</w:t>
      </w:r>
      <w:proofErr w:type="spellEnd"/>
      <w:r w:rsidRPr="008F19A4">
        <w:t xml:space="preserve"> (</w:t>
      </w:r>
      <w:proofErr w:type="spellStart"/>
      <w:r w:rsidRPr="008F19A4">
        <w:t>Steer</w:t>
      </w:r>
      <w:proofErr w:type="spellEnd"/>
      <w:r w:rsidRPr="008F19A4">
        <w:t>-by-</w:t>
      </w:r>
      <w:proofErr w:type="spellStart"/>
      <w:r w:rsidRPr="008F19A4">
        <w:t>Wire</w:t>
      </w:r>
      <w:proofErr w:type="spellEnd"/>
      <w:r w:rsidRPr="008F19A4">
        <w:t>) a řízení zadních kol, které jsou nezbytné pro elektromobily a autonomní vozidla. Akcie společnosti Tele2 posílily díky lepšímu výhledu na rok 2025 a iniciativě na snížení nákladů. Pokud jde o krátké pozice, hodnotu přidal náš podíl v obuvnické společnosti, která čelí problémům s růstovým potenciálem, protože její akcie po neuspokojivých výsledcích za třetí čtvrtletí klesly.</w:t>
      </w:r>
    </w:p>
    <w:p w14:paraId="4290F3E7" w14:textId="77777777" w:rsidR="008F19A4" w:rsidRPr="008F19A4" w:rsidRDefault="008F19A4" w:rsidP="008F19A4">
      <w:r w:rsidRPr="008F19A4">
        <w:t>Mezi hlavní kritické prvky, pokud jde o výběr akcií, patřily dlouhé pozice v oděvní společnosti PVH a několik průmyslových firem, jako je americký dodavatel obranných technologií L3Harris Technologies. Akcie společnosti PVH klesly kvůli obavám ze sankcí vůči Číně, ačkoli jsme celní rizika považovali za omezená vzhledem k relativně nízké expozici PVH vůči Číně. Akcie společnosti L3Harris na začátku čtvrtletí klesly kvůli obavám z možných škrtů v obranném rozpočtu, ačkoli americká administrativa později navrhla rekordní rozpočet na obranu ve výši 1 bilionu USD. Krátké pozice v některých titulech v sektoru obrany se vyvíjely špatně, protože akcie rostly v důsledku očekávání zvýšených výdajů na obranu v USA a Evropě.</w:t>
      </w:r>
    </w:p>
    <w:p w14:paraId="485187B8" w14:textId="2E23AA40" w:rsidR="00343136" w:rsidRPr="009F6358" w:rsidRDefault="008F19A4" w:rsidP="00343136">
      <w:r>
        <w:rPr>
          <w:b/>
          <w:bCs/>
        </w:rPr>
        <w:t>Vyhlídky a pozice</w:t>
      </w:r>
    </w:p>
    <w:p w14:paraId="68D4B438" w14:textId="1845E43D" w:rsidR="008F19A4" w:rsidRPr="008F19A4" w:rsidRDefault="008F19A4" w:rsidP="008F19A4">
      <w:r w:rsidRPr="008F19A4">
        <w:t xml:space="preserve">V situaci, kdy se investoři snaží o „útěk do bezpečí“, se může stát, že budou hledat řešení s menší volatilitou než celkové akciové trhy. Defenzivní strategie, jako jsou strategie využívající tržně neutrální </w:t>
      </w:r>
      <w:r w:rsidRPr="008F19A4">
        <w:lastRenderedPageBreak/>
        <w:t xml:space="preserve">přístup k akciím, mohou v takovém prostředí nabídnout diverzifikační vlastnosti. Jsou navrženy tak, aby měly nízkou korelaci s akciovými a dluhopisovými indexy. Strategie, jako je náš fond </w:t>
      </w:r>
      <w:proofErr w:type="spellStart"/>
      <w:r w:rsidRPr="008F19A4">
        <w:t>Absolute</w:t>
      </w:r>
      <w:proofErr w:type="spellEnd"/>
      <w:r w:rsidRPr="008F19A4">
        <w:t xml:space="preserve"> Return </w:t>
      </w:r>
      <w:proofErr w:type="spellStart"/>
      <w:r w:rsidRPr="008F19A4">
        <w:t>Global</w:t>
      </w:r>
      <w:proofErr w:type="spellEnd"/>
      <w:r w:rsidRPr="008F19A4">
        <w:t xml:space="preserve"> </w:t>
      </w:r>
      <w:proofErr w:type="spellStart"/>
      <w:r w:rsidRPr="008F19A4">
        <w:t>Equity</w:t>
      </w:r>
      <w:proofErr w:type="spellEnd"/>
      <w:r w:rsidRPr="008F19A4">
        <w:t xml:space="preserve"> </w:t>
      </w:r>
      <w:proofErr w:type="spellStart"/>
      <w:r w:rsidRPr="008F19A4">
        <w:t>Fund</w:t>
      </w:r>
      <w:proofErr w:type="spellEnd"/>
      <w:r w:rsidRPr="008F19A4">
        <w:t>, proto dokázaly generovat konzistentní pozitivní výnosy bez ohledu na širší pohyby na trhu, změny stylů a volatilitu trhu. V níže uvedeném grafu naleznete přehled výkonnosti fondu v jednotlivých tržních cyklech.</w:t>
      </w:r>
    </w:p>
    <w:p w14:paraId="4312B2AB" w14:textId="0E596F6E" w:rsidR="008F19A4" w:rsidRPr="008F19A4" w:rsidRDefault="008F19A4" w:rsidP="008F19A4">
      <w:r w:rsidRPr="008F19A4">
        <w:t>Naše makroanalýza naznačuje, že jedním z hlavních rizik do budoucna je možnost, že se obchodní jednání stanou zdlouhavým procesem, což prodlouží nejistotu a zvýší potenciál celkových hospodářských škod. Ačkoli nedávné oznámení o 90denním moratoriu na zavedení recipročních cel bylo pro trhy dočasnou úlevou, situace v oblasti cel se nadále rychle mění. Budeme i nadále zohledňovat názory analytiků na naše jednotlivé podíly a podle toho sledovat jejich cenovou politiku.</w:t>
      </w:r>
    </w:p>
    <w:p w14:paraId="3F5D1A4B" w14:textId="2101B668" w:rsidR="008F19A4" w:rsidRPr="008F19A4" w:rsidRDefault="008F19A4" w:rsidP="008F19A4">
      <w:r w:rsidRPr="008F19A4">
        <w:t xml:space="preserve">Z dlouhodobého hlediska se i nadále domníváme, že alokace do strategií, jako je </w:t>
      </w:r>
      <w:proofErr w:type="spellStart"/>
      <w:r w:rsidRPr="008F19A4">
        <w:t>Fidelity</w:t>
      </w:r>
      <w:proofErr w:type="spellEnd"/>
      <w:r w:rsidRPr="008F19A4">
        <w:t xml:space="preserve"> </w:t>
      </w:r>
      <w:proofErr w:type="spellStart"/>
      <w:r w:rsidRPr="008F19A4">
        <w:t>Absolute</w:t>
      </w:r>
      <w:proofErr w:type="spellEnd"/>
      <w:r w:rsidRPr="008F19A4">
        <w:t xml:space="preserve"> Return </w:t>
      </w:r>
      <w:proofErr w:type="spellStart"/>
      <w:r w:rsidRPr="008F19A4">
        <w:t>Global</w:t>
      </w:r>
      <w:proofErr w:type="spellEnd"/>
      <w:r w:rsidRPr="008F19A4">
        <w:t xml:space="preserve"> </w:t>
      </w:r>
      <w:proofErr w:type="spellStart"/>
      <w:r w:rsidRPr="008F19A4">
        <w:t>Equity</w:t>
      </w:r>
      <w:proofErr w:type="spellEnd"/>
      <w:r w:rsidRPr="008F19A4">
        <w:t xml:space="preserve"> s nekorelovanými charakteristikami rizika a výnosu, může díky diverzifikaci významně zlepšit celkový profil rizika a výnosu globálních vyvážených portfolií a působit jako řešení vhodné pro umísťování aktiv za každé situace bez ohledu na tržní prostředí.</w:t>
      </w:r>
    </w:p>
    <w:p w14:paraId="619C02E4" w14:textId="3B5A09CC" w:rsidR="003F13C4" w:rsidRPr="009F6358" w:rsidRDefault="008F19A4" w:rsidP="003F13C4">
      <w:r>
        <w:rPr>
          <w:noProof/>
        </w:rPr>
        <w:drawing>
          <wp:anchor distT="0" distB="0" distL="114300" distR="114300" simplePos="0" relativeHeight="251660288" behindDoc="0" locked="0" layoutInCell="1" allowOverlap="1" wp14:anchorId="67332151" wp14:editId="6E43E972">
            <wp:simplePos x="0" y="0"/>
            <wp:positionH relativeFrom="column">
              <wp:posOffset>-1270</wp:posOffset>
            </wp:positionH>
            <wp:positionV relativeFrom="paragraph">
              <wp:posOffset>510540</wp:posOffset>
            </wp:positionV>
            <wp:extent cx="5759450" cy="3021965"/>
            <wp:effectExtent l="0" t="0" r="0" b="6985"/>
            <wp:wrapTopAndBottom/>
            <wp:docPr id="166690650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06509" name="Obrázek 1666906509"/>
                    <pic:cNvPicPr/>
                  </pic:nvPicPr>
                  <pic:blipFill>
                    <a:blip r:embed="rId13">
                      <a:extLst>
                        <a:ext uri="{28A0092B-C50C-407E-A947-70E740481C1C}">
                          <a14:useLocalDpi xmlns:a14="http://schemas.microsoft.com/office/drawing/2010/main" val="0"/>
                        </a:ext>
                      </a:extLst>
                    </a:blip>
                    <a:stretch>
                      <a:fillRect/>
                    </a:stretch>
                  </pic:blipFill>
                  <pic:spPr>
                    <a:xfrm>
                      <a:off x="0" y="0"/>
                      <a:ext cx="5759450" cy="3021965"/>
                    </a:xfrm>
                    <a:prstGeom prst="rect">
                      <a:avLst/>
                    </a:prstGeom>
                  </pic:spPr>
                </pic:pic>
              </a:graphicData>
            </a:graphic>
          </wp:anchor>
        </w:drawing>
      </w:r>
      <w:r>
        <w:rPr>
          <w:b/>
          <w:bCs/>
        </w:rPr>
        <w:t>Analýza výkonnosti napříč tržními cykly a stylovými pohyby</w:t>
      </w:r>
    </w:p>
    <w:p w14:paraId="57233F09" w14:textId="18547008" w:rsidR="003F13C4" w:rsidRPr="008F19A4" w:rsidRDefault="008F19A4" w:rsidP="003F13C4">
      <w:pPr>
        <w:rPr>
          <w:i/>
          <w:iCs/>
          <w:sz w:val="16"/>
          <w:szCs w:val="16"/>
        </w:rPr>
      </w:pPr>
      <w:r w:rsidRPr="008F19A4">
        <w:rPr>
          <w:i/>
          <w:iCs/>
          <w:sz w:val="16"/>
          <w:szCs w:val="16"/>
        </w:rPr>
        <w:t>Minulá výkonnost nepředpovídá budoucí výnosy. Výnosy fondu se mohou zvýšit nebo snížit v důsledku kolísání měnových kurzů.</w:t>
      </w:r>
    </w:p>
    <w:p w14:paraId="01613672" w14:textId="77777777" w:rsidR="008F19A4" w:rsidRPr="008F19A4" w:rsidRDefault="008F19A4" w:rsidP="003F13C4">
      <w:pPr>
        <w:rPr>
          <w:i/>
          <w:iCs/>
          <w:sz w:val="16"/>
          <w:szCs w:val="16"/>
        </w:rPr>
      </w:pPr>
      <w:r w:rsidRPr="008F19A4">
        <w:rPr>
          <w:i/>
          <w:iCs/>
          <w:sz w:val="16"/>
          <w:szCs w:val="16"/>
        </w:rPr>
        <w:t xml:space="preserve">Zdroj: Fidelity International, data k 31. březnu 2025. Data o fondu představují </w:t>
      </w:r>
      <w:proofErr w:type="spellStart"/>
      <w:r w:rsidRPr="008F19A4">
        <w:rPr>
          <w:i/>
          <w:iCs/>
          <w:sz w:val="16"/>
          <w:szCs w:val="16"/>
        </w:rPr>
        <w:t>Fidelity</w:t>
      </w:r>
      <w:proofErr w:type="spellEnd"/>
      <w:r w:rsidRPr="008F19A4">
        <w:rPr>
          <w:i/>
          <w:iCs/>
          <w:sz w:val="16"/>
          <w:szCs w:val="16"/>
        </w:rPr>
        <w:t xml:space="preserve"> </w:t>
      </w:r>
      <w:proofErr w:type="spellStart"/>
      <w:proofErr w:type="gramStart"/>
      <w:r w:rsidRPr="008F19A4">
        <w:rPr>
          <w:i/>
          <w:iCs/>
          <w:sz w:val="16"/>
          <w:szCs w:val="16"/>
        </w:rPr>
        <w:t>Funds</w:t>
      </w:r>
      <w:proofErr w:type="spellEnd"/>
      <w:r w:rsidRPr="008F19A4">
        <w:rPr>
          <w:i/>
          <w:iCs/>
          <w:sz w:val="16"/>
          <w:szCs w:val="16"/>
        </w:rPr>
        <w:t xml:space="preserve"> - </w:t>
      </w:r>
      <w:proofErr w:type="spellStart"/>
      <w:r w:rsidRPr="008F19A4">
        <w:rPr>
          <w:i/>
          <w:iCs/>
          <w:sz w:val="16"/>
          <w:szCs w:val="16"/>
        </w:rPr>
        <w:t>Absolute</w:t>
      </w:r>
      <w:proofErr w:type="spellEnd"/>
      <w:proofErr w:type="gramEnd"/>
      <w:r w:rsidRPr="008F19A4">
        <w:rPr>
          <w:i/>
          <w:iCs/>
          <w:sz w:val="16"/>
          <w:szCs w:val="16"/>
        </w:rPr>
        <w:t xml:space="preserve"> Return </w:t>
      </w:r>
      <w:proofErr w:type="spellStart"/>
      <w:r w:rsidRPr="008F19A4">
        <w:rPr>
          <w:i/>
          <w:iCs/>
          <w:sz w:val="16"/>
          <w:szCs w:val="16"/>
        </w:rPr>
        <w:t>Global</w:t>
      </w:r>
      <w:proofErr w:type="spellEnd"/>
      <w:r w:rsidRPr="008F19A4">
        <w:rPr>
          <w:i/>
          <w:iCs/>
          <w:sz w:val="16"/>
          <w:szCs w:val="16"/>
        </w:rPr>
        <w:t xml:space="preserve"> </w:t>
      </w:r>
      <w:proofErr w:type="spellStart"/>
      <w:r w:rsidRPr="008F19A4">
        <w:rPr>
          <w:i/>
          <w:iCs/>
          <w:sz w:val="16"/>
          <w:szCs w:val="16"/>
        </w:rPr>
        <w:t>Equity</w:t>
      </w:r>
      <w:proofErr w:type="spellEnd"/>
      <w:r w:rsidRPr="008F19A4">
        <w:rPr>
          <w:i/>
          <w:iCs/>
          <w:sz w:val="16"/>
          <w:szCs w:val="16"/>
        </w:rPr>
        <w:t xml:space="preserve">. Srovnávací index: USD Cash Index (index SOFR). Výkonnost je uvedena bez poplatků v USD. Býčí vs. medvědí trh definovaný podle výnosů reprezentativního globálního akciového indexu (tj. MSCI All Country </w:t>
      </w:r>
      <w:proofErr w:type="spellStart"/>
      <w:r w:rsidRPr="008F19A4">
        <w:rPr>
          <w:i/>
          <w:iCs/>
          <w:sz w:val="16"/>
          <w:szCs w:val="16"/>
        </w:rPr>
        <w:t>World</w:t>
      </w:r>
      <w:proofErr w:type="spellEnd"/>
      <w:r w:rsidRPr="008F19A4">
        <w:rPr>
          <w:i/>
          <w:iCs/>
          <w:sz w:val="16"/>
          <w:szCs w:val="16"/>
        </w:rPr>
        <w:t xml:space="preserve">). Volatilita definovaná podle změny indexu volatility CBOE (index VIX). Růstové vs. hodnotové trhy definované podle výnosů reprezentativních globálních akciových indexů růstu a hodnoty (MSCI All Country </w:t>
      </w:r>
      <w:proofErr w:type="spellStart"/>
      <w:r w:rsidRPr="008F19A4">
        <w:rPr>
          <w:i/>
          <w:iCs/>
          <w:sz w:val="16"/>
          <w:szCs w:val="16"/>
        </w:rPr>
        <w:t>World</w:t>
      </w:r>
      <w:proofErr w:type="spellEnd"/>
      <w:r w:rsidRPr="008F19A4">
        <w:rPr>
          <w:i/>
          <w:iCs/>
          <w:sz w:val="16"/>
          <w:szCs w:val="16"/>
        </w:rPr>
        <w:t xml:space="preserve"> </w:t>
      </w:r>
      <w:proofErr w:type="spellStart"/>
      <w:r w:rsidRPr="008F19A4">
        <w:rPr>
          <w:i/>
          <w:iCs/>
          <w:sz w:val="16"/>
          <w:szCs w:val="16"/>
        </w:rPr>
        <w:t>Growth</w:t>
      </w:r>
      <w:proofErr w:type="spellEnd"/>
      <w:r w:rsidRPr="008F19A4">
        <w:rPr>
          <w:i/>
          <w:iCs/>
          <w:sz w:val="16"/>
          <w:szCs w:val="16"/>
        </w:rPr>
        <w:t xml:space="preserve"> a MSCI All Country </w:t>
      </w:r>
      <w:proofErr w:type="spellStart"/>
      <w:r w:rsidRPr="008F19A4">
        <w:rPr>
          <w:i/>
          <w:iCs/>
          <w:sz w:val="16"/>
          <w:szCs w:val="16"/>
        </w:rPr>
        <w:t>World</w:t>
      </w:r>
      <w:proofErr w:type="spellEnd"/>
      <w:r w:rsidRPr="008F19A4">
        <w:rPr>
          <w:i/>
          <w:iCs/>
          <w:sz w:val="16"/>
          <w:szCs w:val="16"/>
        </w:rPr>
        <w:t xml:space="preserve"> </w:t>
      </w:r>
      <w:proofErr w:type="spellStart"/>
      <w:r w:rsidRPr="008F19A4">
        <w:rPr>
          <w:i/>
          <w:iCs/>
          <w:sz w:val="16"/>
          <w:szCs w:val="16"/>
        </w:rPr>
        <w:t>Value</w:t>
      </w:r>
      <w:proofErr w:type="spellEnd"/>
      <w:r w:rsidRPr="008F19A4">
        <w:rPr>
          <w:i/>
          <w:iCs/>
          <w:sz w:val="16"/>
          <w:szCs w:val="16"/>
        </w:rPr>
        <w:t xml:space="preserve">). Velké vs. malé trhy definované podle výnosů reprezentativních globálních akciových indexů </w:t>
      </w:r>
      <w:proofErr w:type="spellStart"/>
      <w:r w:rsidRPr="008F19A4">
        <w:rPr>
          <w:i/>
          <w:iCs/>
          <w:sz w:val="16"/>
          <w:szCs w:val="16"/>
        </w:rPr>
        <w:t>Large</w:t>
      </w:r>
      <w:proofErr w:type="spellEnd"/>
      <w:r w:rsidRPr="008F19A4">
        <w:rPr>
          <w:i/>
          <w:iCs/>
          <w:sz w:val="16"/>
          <w:szCs w:val="16"/>
        </w:rPr>
        <w:t xml:space="preserve"> a </w:t>
      </w:r>
      <w:proofErr w:type="spellStart"/>
      <w:r w:rsidRPr="008F19A4">
        <w:rPr>
          <w:i/>
          <w:iCs/>
          <w:sz w:val="16"/>
          <w:szCs w:val="16"/>
        </w:rPr>
        <w:t>Small</w:t>
      </w:r>
      <w:proofErr w:type="spellEnd"/>
      <w:r w:rsidRPr="008F19A4">
        <w:rPr>
          <w:i/>
          <w:iCs/>
          <w:sz w:val="16"/>
          <w:szCs w:val="16"/>
        </w:rPr>
        <w:t xml:space="preserve"> (MSCI All Country </w:t>
      </w:r>
      <w:proofErr w:type="spellStart"/>
      <w:r w:rsidRPr="008F19A4">
        <w:rPr>
          <w:i/>
          <w:iCs/>
          <w:sz w:val="16"/>
          <w:szCs w:val="16"/>
        </w:rPr>
        <w:t>World</w:t>
      </w:r>
      <w:proofErr w:type="spellEnd"/>
      <w:r w:rsidRPr="008F19A4">
        <w:rPr>
          <w:i/>
          <w:iCs/>
          <w:sz w:val="16"/>
          <w:szCs w:val="16"/>
        </w:rPr>
        <w:t xml:space="preserve"> </w:t>
      </w:r>
      <w:proofErr w:type="spellStart"/>
      <w:r w:rsidRPr="008F19A4">
        <w:rPr>
          <w:i/>
          <w:iCs/>
          <w:sz w:val="16"/>
          <w:szCs w:val="16"/>
        </w:rPr>
        <w:t>Large</w:t>
      </w:r>
      <w:proofErr w:type="spellEnd"/>
      <w:r w:rsidRPr="008F19A4">
        <w:rPr>
          <w:i/>
          <w:iCs/>
          <w:sz w:val="16"/>
          <w:szCs w:val="16"/>
        </w:rPr>
        <w:t xml:space="preserve"> Cap a MSCI All Country </w:t>
      </w:r>
      <w:proofErr w:type="spellStart"/>
      <w:r w:rsidRPr="008F19A4">
        <w:rPr>
          <w:i/>
          <w:iCs/>
          <w:sz w:val="16"/>
          <w:szCs w:val="16"/>
        </w:rPr>
        <w:t>World</w:t>
      </w:r>
      <w:proofErr w:type="spellEnd"/>
      <w:r w:rsidRPr="008F19A4">
        <w:rPr>
          <w:i/>
          <w:iCs/>
          <w:sz w:val="16"/>
          <w:szCs w:val="16"/>
        </w:rPr>
        <w:t xml:space="preserve"> </w:t>
      </w:r>
      <w:proofErr w:type="spellStart"/>
      <w:r w:rsidRPr="008F19A4">
        <w:rPr>
          <w:i/>
          <w:iCs/>
          <w:sz w:val="16"/>
          <w:szCs w:val="16"/>
        </w:rPr>
        <w:t>Small</w:t>
      </w:r>
      <w:proofErr w:type="spellEnd"/>
      <w:r w:rsidRPr="008F19A4">
        <w:rPr>
          <w:i/>
          <w:iCs/>
          <w:sz w:val="16"/>
          <w:szCs w:val="16"/>
        </w:rPr>
        <w:t xml:space="preserve"> Cap).</w:t>
      </w:r>
    </w:p>
    <w:p w14:paraId="1795F572" w14:textId="77777777" w:rsidR="008F19A4" w:rsidRDefault="008F19A4" w:rsidP="004951BE"/>
    <w:p w14:paraId="0C3212F0" w14:textId="6EE4D52D" w:rsidR="004951BE" w:rsidRDefault="008F19A4" w:rsidP="004951BE">
      <w:pPr>
        <w:rPr>
          <w:b/>
          <w:bCs/>
        </w:rPr>
      </w:pPr>
      <w:proofErr w:type="spellStart"/>
      <w:r>
        <w:rPr>
          <w:rFonts w:asciiTheme="minorHAnsi" w:hAnsiTheme="minorHAnsi" w:cstheme="minorHAnsi"/>
          <w:b/>
          <w:bCs/>
          <w:sz w:val="24"/>
          <w:szCs w:val="24"/>
        </w:rPr>
        <w:lastRenderedPageBreak/>
        <w:t>Fidelity</w:t>
      </w:r>
      <w:proofErr w:type="spellEnd"/>
      <w:r>
        <w:rPr>
          <w:rFonts w:asciiTheme="minorHAnsi" w:hAnsiTheme="minorHAnsi" w:cstheme="minorHAnsi"/>
          <w:b/>
          <w:bCs/>
          <w:sz w:val="24"/>
          <w:szCs w:val="24"/>
        </w:rPr>
        <w:t xml:space="preserve"> fondy </w:t>
      </w:r>
      <w:r w:rsidRPr="00E01FF7">
        <w:rPr>
          <w:b/>
          <w:bCs/>
        </w:rPr>
        <w:t>–</w:t>
      </w:r>
      <w:r>
        <w:rPr>
          <w:b/>
          <w:bCs/>
        </w:rPr>
        <w:t xml:space="preserve"> </w:t>
      </w:r>
      <w:proofErr w:type="spellStart"/>
      <w:r>
        <w:rPr>
          <w:b/>
          <w:bCs/>
        </w:rPr>
        <w:t>Absolute</w:t>
      </w:r>
      <w:proofErr w:type="spellEnd"/>
      <w:r>
        <w:rPr>
          <w:b/>
          <w:bCs/>
        </w:rPr>
        <w:t xml:space="preserve"> Return </w:t>
      </w:r>
      <w:proofErr w:type="spellStart"/>
      <w:r>
        <w:rPr>
          <w:b/>
          <w:bCs/>
        </w:rPr>
        <w:t>Global</w:t>
      </w:r>
      <w:proofErr w:type="spellEnd"/>
      <w:r>
        <w:rPr>
          <w:b/>
          <w:bCs/>
        </w:rPr>
        <w:t xml:space="preserve"> </w:t>
      </w:r>
      <w:proofErr w:type="spellStart"/>
      <w:r>
        <w:rPr>
          <w:b/>
          <w:bCs/>
        </w:rPr>
        <w:t>Equity</w:t>
      </w:r>
      <w:proofErr w:type="spellEnd"/>
      <w:r>
        <w:rPr>
          <w:b/>
          <w:bCs/>
        </w:rPr>
        <w:t xml:space="preserve"> </w:t>
      </w:r>
      <w:proofErr w:type="spellStart"/>
      <w:r>
        <w:rPr>
          <w:b/>
          <w:bCs/>
        </w:rPr>
        <w:t>Fund</w:t>
      </w:r>
      <w:proofErr w:type="spellEnd"/>
      <w:r>
        <w:rPr>
          <w:b/>
          <w:bCs/>
        </w:rPr>
        <w:t xml:space="preserve"> </w:t>
      </w:r>
    </w:p>
    <w:p w14:paraId="1B848DEB" w14:textId="57CB6834" w:rsidR="008F19A4" w:rsidRPr="008F19A4" w:rsidRDefault="008F19A4" w:rsidP="008F19A4">
      <w:pPr>
        <w:pStyle w:val="F2-zkladn"/>
        <w:rPr>
          <w:rFonts w:asciiTheme="minorHAnsi" w:hAnsiTheme="minorHAnsi" w:cstheme="minorHAnsi"/>
          <w:b/>
          <w:bCs/>
          <w:sz w:val="24"/>
          <w:szCs w:val="24"/>
        </w:rPr>
      </w:pPr>
      <w:r w:rsidRPr="008F19A4">
        <w:rPr>
          <w:noProof/>
        </w:rPr>
        <w:drawing>
          <wp:anchor distT="0" distB="0" distL="114300" distR="114300" simplePos="0" relativeHeight="251662336" behindDoc="0" locked="0" layoutInCell="1" allowOverlap="1" wp14:anchorId="336DC3F3" wp14:editId="72BF97B3">
            <wp:simplePos x="0" y="0"/>
            <wp:positionH relativeFrom="column">
              <wp:posOffset>-39370</wp:posOffset>
            </wp:positionH>
            <wp:positionV relativeFrom="paragraph">
              <wp:posOffset>2298700</wp:posOffset>
            </wp:positionV>
            <wp:extent cx="5759450" cy="1734820"/>
            <wp:effectExtent l="0" t="0" r="0" b="0"/>
            <wp:wrapTopAndBottom/>
            <wp:docPr id="8905504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50422" name=""/>
                    <pic:cNvPicPr/>
                  </pic:nvPicPr>
                  <pic:blipFill>
                    <a:blip r:embed="rId14">
                      <a:extLst>
                        <a:ext uri="{28A0092B-C50C-407E-A947-70E740481C1C}">
                          <a14:useLocalDpi xmlns:a14="http://schemas.microsoft.com/office/drawing/2010/main" val="0"/>
                        </a:ext>
                      </a:extLst>
                    </a:blip>
                    <a:stretch>
                      <a:fillRect/>
                    </a:stretch>
                  </pic:blipFill>
                  <pic:spPr>
                    <a:xfrm>
                      <a:off x="0" y="0"/>
                      <a:ext cx="5759450" cy="1734820"/>
                    </a:xfrm>
                    <a:prstGeom prst="rect">
                      <a:avLst/>
                    </a:prstGeom>
                  </pic:spPr>
                </pic:pic>
              </a:graphicData>
            </a:graphic>
          </wp:anchor>
        </w:drawing>
      </w:r>
      <w:r>
        <w:rPr>
          <w:noProof/>
        </w:rPr>
        <w:drawing>
          <wp:anchor distT="0" distB="0" distL="114300" distR="114300" simplePos="0" relativeHeight="251661312" behindDoc="0" locked="0" layoutInCell="1" allowOverlap="1" wp14:anchorId="3C03686C" wp14:editId="757F9F0F">
            <wp:simplePos x="0" y="0"/>
            <wp:positionH relativeFrom="column">
              <wp:posOffset>-39370</wp:posOffset>
            </wp:positionH>
            <wp:positionV relativeFrom="paragraph">
              <wp:posOffset>472440</wp:posOffset>
            </wp:positionV>
            <wp:extent cx="5759450" cy="1516380"/>
            <wp:effectExtent l="0" t="0" r="0" b="7620"/>
            <wp:wrapSquare wrapText="bothSides"/>
            <wp:docPr id="178845889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58895" name="Obrázek 1788458895"/>
                    <pic:cNvPicPr/>
                  </pic:nvPicPr>
                  <pic:blipFill>
                    <a:blip r:embed="rId15">
                      <a:extLst>
                        <a:ext uri="{28A0092B-C50C-407E-A947-70E740481C1C}">
                          <a14:useLocalDpi xmlns:a14="http://schemas.microsoft.com/office/drawing/2010/main" val="0"/>
                        </a:ext>
                      </a:extLst>
                    </a:blip>
                    <a:stretch>
                      <a:fillRect/>
                    </a:stretch>
                  </pic:blipFill>
                  <pic:spPr>
                    <a:xfrm>
                      <a:off x="0" y="0"/>
                      <a:ext cx="5759450" cy="1516380"/>
                    </a:xfrm>
                    <a:prstGeom prst="rect">
                      <a:avLst/>
                    </a:prstGeom>
                  </pic:spPr>
                </pic:pic>
              </a:graphicData>
            </a:graphic>
          </wp:anchor>
        </w:drawing>
      </w:r>
      <w:r w:rsidRPr="008F19A4">
        <w:rPr>
          <w:rFonts w:asciiTheme="minorHAnsi" w:hAnsiTheme="minorHAnsi" w:cstheme="minorHAnsi"/>
          <w:b/>
          <w:bCs/>
          <w:sz w:val="24"/>
          <w:szCs w:val="24"/>
        </w:rPr>
        <w:t>Výkonnost očištěná od poplatků do 31. března 2025 (v USD v %)</w:t>
      </w:r>
    </w:p>
    <w:p w14:paraId="37CEBEFE" w14:textId="77777777" w:rsidR="008F19A4" w:rsidRPr="008F19A4" w:rsidRDefault="008F19A4" w:rsidP="008F19A4">
      <w:pPr>
        <w:rPr>
          <w:i/>
          <w:iCs/>
          <w:sz w:val="16"/>
          <w:szCs w:val="16"/>
        </w:rPr>
      </w:pPr>
      <w:r w:rsidRPr="008F19A4">
        <w:rPr>
          <w:i/>
          <w:iCs/>
          <w:sz w:val="16"/>
          <w:szCs w:val="16"/>
        </w:rPr>
        <w:t>Minulá výkonnost není spolehlivým ukazatelem budoucích výnosů. Výnosy fondu se mohou zvýšit nebo snížit v důsledku kolísání měny.</w:t>
      </w:r>
    </w:p>
    <w:p w14:paraId="1181DC8F" w14:textId="3C6C1663" w:rsidR="008F19A4" w:rsidRPr="008F19A4" w:rsidRDefault="008F19A4" w:rsidP="008F19A4">
      <w:pPr>
        <w:rPr>
          <w:i/>
          <w:iCs/>
          <w:sz w:val="16"/>
          <w:szCs w:val="16"/>
        </w:rPr>
      </w:pPr>
      <w:r w:rsidRPr="008F19A4">
        <w:rPr>
          <w:i/>
          <w:iCs/>
          <w:sz w:val="16"/>
          <w:szCs w:val="16"/>
        </w:rPr>
        <w:t xml:space="preserve">Zdroj: Fond je v současné době v provozu: </w:t>
      </w:r>
      <w:proofErr w:type="spellStart"/>
      <w:r w:rsidRPr="008F19A4">
        <w:rPr>
          <w:i/>
          <w:iCs/>
          <w:sz w:val="16"/>
          <w:szCs w:val="16"/>
        </w:rPr>
        <w:t>Fidelity</w:t>
      </w:r>
      <w:proofErr w:type="spellEnd"/>
      <w:r w:rsidRPr="008F19A4">
        <w:rPr>
          <w:i/>
          <w:iCs/>
          <w:sz w:val="16"/>
          <w:szCs w:val="16"/>
        </w:rPr>
        <w:t xml:space="preserve"> International, </w:t>
      </w:r>
      <w:proofErr w:type="spellStart"/>
      <w:r w:rsidRPr="008F19A4">
        <w:rPr>
          <w:i/>
          <w:iCs/>
          <w:sz w:val="16"/>
          <w:szCs w:val="16"/>
        </w:rPr>
        <w:t>Morningstar</w:t>
      </w:r>
      <w:proofErr w:type="spellEnd"/>
      <w:r w:rsidRPr="008F19A4">
        <w:rPr>
          <w:i/>
          <w:iCs/>
          <w:sz w:val="16"/>
          <w:szCs w:val="16"/>
        </w:rPr>
        <w:t xml:space="preserve">, k 31. březnu 2025, výkonnost bez poplatků pro </w:t>
      </w:r>
      <w:proofErr w:type="spellStart"/>
      <w:r w:rsidRPr="008F19A4">
        <w:rPr>
          <w:i/>
          <w:iCs/>
          <w:sz w:val="16"/>
          <w:szCs w:val="16"/>
        </w:rPr>
        <w:t>Fidelity</w:t>
      </w:r>
      <w:proofErr w:type="spellEnd"/>
      <w:r w:rsidRPr="008F19A4">
        <w:rPr>
          <w:i/>
          <w:iCs/>
          <w:sz w:val="16"/>
          <w:szCs w:val="16"/>
        </w:rPr>
        <w:t xml:space="preserve"> </w:t>
      </w:r>
      <w:proofErr w:type="spellStart"/>
      <w:proofErr w:type="gramStart"/>
      <w:r w:rsidRPr="008F19A4">
        <w:rPr>
          <w:i/>
          <w:iCs/>
          <w:sz w:val="16"/>
          <w:szCs w:val="16"/>
        </w:rPr>
        <w:t>Funds</w:t>
      </w:r>
      <w:proofErr w:type="spellEnd"/>
      <w:r w:rsidRPr="008F19A4">
        <w:rPr>
          <w:i/>
          <w:iCs/>
          <w:sz w:val="16"/>
          <w:szCs w:val="16"/>
        </w:rPr>
        <w:t xml:space="preserve"> - </w:t>
      </w:r>
      <w:proofErr w:type="spellStart"/>
      <w:r w:rsidRPr="008F19A4">
        <w:rPr>
          <w:i/>
          <w:iCs/>
          <w:sz w:val="16"/>
          <w:szCs w:val="16"/>
        </w:rPr>
        <w:t>Absolute</w:t>
      </w:r>
      <w:proofErr w:type="spellEnd"/>
      <w:proofErr w:type="gramEnd"/>
      <w:r w:rsidRPr="008F19A4">
        <w:rPr>
          <w:i/>
          <w:iCs/>
          <w:sz w:val="16"/>
          <w:szCs w:val="16"/>
        </w:rPr>
        <w:t xml:space="preserve"> Return </w:t>
      </w:r>
      <w:proofErr w:type="spellStart"/>
      <w:r w:rsidRPr="008F19A4">
        <w:rPr>
          <w:i/>
          <w:iCs/>
          <w:sz w:val="16"/>
          <w:szCs w:val="16"/>
        </w:rPr>
        <w:t>Global</w:t>
      </w:r>
      <w:proofErr w:type="spellEnd"/>
      <w:r w:rsidRPr="008F19A4">
        <w:rPr>
          <w:i/>
          <w:iCs/>
          <w:sz w:val="16"/>
          <w:szCs w:val="16"/>
        </w:rPr>
        <w:t xml:space="preserve"> </w:t>
      </w:r>
      <w:proofErr w:type="spellStart"/>
      <w:r w:rsidRPr="008F19A4">
        <w:rPr>
          <w:i/>
          <w:iCs/>
          <w:sz w:val="16"/>
          <w:szCs w:val="16"/>
        </w:rPr>
        <w:t>Equity</w:t>
      </w:r>
      <w:proofErr w:type="spellEnd"/>
      <w:r w:rsidRPr="008F19A4">
        <w:rPr>
          <w:i/>
          <w:iCs/>
          <w:sz w:val="16"/>
          <w:szCs w:val="16"/>
        </w:rPr>
        <w:t xml:space="preserve"> </w:t>
      </w:r>
      <w:proofErr w:type="spellStart"/>
      <w:r w:rsidRPr="008F19A4">
        <w:rPr>
          <w:i/>
          <w:iCs/>
          <w:sz w:val="16"/>
          <w:szCs w:val="16"/>
        </w:rPr>
        <w:t>Fund</w:t>
      </w:r>
      <w:proofErr w:type="spellEnd"/>
      <w:r w:rsidRPr="008F19A4">
        <w:rPr>
          <w:i/>
          <w:iCs/>
          <w:sz w:val="16"/>
          <w:szCs w:val="16"/>
        </w:rPr>
        <w:t xml:space="preserve">, čistý reinvestovaný výnos. Měna: USD. Srovnávací referenční hodnota: USD Cash Index (SOFR Index), datum zahájení 24/09/2020. Nezahrnuje počáteční poplatky (pokud se uplatňují) pro výpočet výnosů. Celkové částky se nemusí sčítat z důvodu zaokrouhlování. *Srovnatelnou skupinou je </w:t>
      </w:r>
      <w:proofErr w:type="spellStart"/>
      <w:r w:rsidRPr="008F19A4">
        <w:rPr>
          <w:i/>
          <w:iCs/>
          <w:sz w:val="16"/>
          <w:szCs w:val="16"/>
        </w:rPr>
        <w:t>Morningstar</w:t>
      </w:r>
      <w:proofErr w:type="spellEnd"/>
      <w:r w:rsidRPr="008F19A4">
        <w:rPr>
          <w:i/>
          <w:iCs/>
          <w:sz w:val="16"/>
          <w:szCs w:val="16"/>
        </w:rPr>
        <w:t xml:space="preserve"> EAA </w:t>
      </w:r>
      <w:proofErr w:type="spellStart"/>
      <w:r w:rsidRPr="008F19A4">
        <w:rPr>
          <w:i/>
          <w:iCs/>
          <w:sz w:val="16"/>
          <w:szCs w:val="16"/>
        </w:rPr>
        <w:t>Fund</w:t>
      </w:r>
      <w:proofErr w:type="spellEnd"/>
      <w:r w:rsidRPr="008F19A4">
        <w:rPr>
          <w:i/>
          <w:iCs/>
          <w:sz w:val="16"/>
          <w:szCs w:val="16"/>
        </w:rPr>
        <w:t xml:space="preserve"> </w:t>
      </w:r>
      <w:proofErr w:type="spellStart"/>
      <w:r w:rsidRPr="008F19A4">
        <w:rPr>
          <w:i/>
          <w:iCs/>
          <w:sz w:val="16"/>
          <w:szCs w:val="16"/>
        </w:rPr>
        <w:t>Equity</w:t>
      </w:r>
      <w:proofErr w:type="spellEnd"/>
      <w:r w:rsidRPr="008F19A4">
        <w:rPr>
          <w:i/>
          <w:iCs/>
          <w:sz w:val="16"/>
          <w:szCs w:val="16"/>
        </w:rPr>
        <w:t xml:space="preserve"> Market </w:t>
      </w:r>
      <w:proofErr w:type="spellStart"/>
      <w:r w:rsidRPr="008F19A4">
        <w:rPr>
          <w:i/>
          <w:iCs/>
          <w:sz w:val="16"/>
          <w:szCs w:val="16"/>
        </w:rPr>
        <w:t>Neutral</w:t>
      </w:r>
      <w:proofErr w:type="spellEnd"/>
      <w:r w:rsidRPr="008F19A4">
        <w:rPr>
          <w:i/>
          <w:iCs/>
          <w:sz w:val="16"/>
          <w:szCs w:val="16"/>
        </w:rPr>
        <w:t xml:space="preserve"> </w:t>
      </w:r>
      <w:proofErr w:type="gramStart"/>
      <w:r w:rsidRPr="008F19A4">
        <w:rPr>
          <w:i/>
          <w:iCs/>
          <w:sz w:val="16"/>
          <w:szCs w:val="16"/>
        </w:rPr>
        <w:t xml:space="preserve">USD - </w:t>
      </w:r>
      <w:proofErr w:type="spellStart"/>
      <w:r w:rsidRPr="008F19A4">
        <w:rPr>
          <w:i/>
          <w:iCs/>
          <w:sz w:val="16"/>
          <w:szCs w:val="16"/>
        </w:rPr>
        <w:t>peers</w:t>
      </w:r>
      <w:proofErr w:type="spellEnd"/>
      <w:proofErr w:type="gramEnd"/>
      <w:r w:rsidRPr="008F19A4">
        <w:rPr>
          <w:i/>
          <w:iCs/>
          <w:sz w:val="16"/>
          <w:szCs w:val="16"/>
        </w:rPr>
        <w:t xml:space="preserve"> </w:t>
      </w:r>
      <w:proofErr w:type="spellStart"/>
      <w:r w:rsidRPr="008F19A4">
        <w:rPr>
          <w:i/>
          <w:iCs/>
          <w:sz w:val="16"/>
          <w:szCs w:val="16"/>
        </w:rPr>
        <w:t>beaten</w:t>
      </w:r>
      <w:proofErr w:type="spellEnd"/>
      <w:r w:rsidRPr="008F19A4">
        <w:rPr>
          <w:i/>
          <w:iCs/>
          <w:sz w:val="16"/>
          <w:szCs w:val="16"/>
        </w:rPr>
        <w:t xml:space="preserve"> data založená na výkonnosti bez poplatků. Upozorňujeme, že třída akcií Y-PF-ACC-USD není nejdražší třídou akcií.</w:t>
      </w:r>
    </w:p>
    <w:p w14:paraId="44DD0EAF" w14:textId="6B786D15" w:rsidR="008F19A4" w:rsidRDefault="008F19A4" w:rsidP="008F19A4">
      <w:pPr>
        <w:rPr>
          <w:b/>
          <w:bCs/>
        </w:rPr>
      </w:pP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fondy </w:t>
      </w:r>
      <w:r w:rsidRPr="00E01FF7">
        <w:rPr>
          <w:b/>
          <w:bCs/>
        </w:rPr>
        <w:t>–</w:t>
      </w:r>
      <w:r>
        <w:rPr>
          <w:b/>
          <w:bCs/>
        </w:rPr>
        <w:t xml:space="preserve"> </w:t>
      </w:r>
      <w:proofErr w:type="spellStart"/>
      <w:r>
        <w:rPr>
          <w:b/>
          <w:bCs/>
        </w:rPr>
        <w:t>Absolute</w:t>
      </w:r>
      <w:proofErr w:type="spellEnd"/>
      <w:r>
        <w:rPr>
          <w:b/>
          <w:bCs/>
        </w:rPr>
        <w:t xml:space="preserve"> Return </w:t>
      </w:r>
      <w:proofErr w:type="spellStart"/>
      <w:r>
        <w:rPr>
          <w:b/>
          <w:bCs/>
        </w:rPr>
        <w:t>Global</w:t>
      </w:r>
      <w:proofErr w:type="spellEnd"/>
      <w:r>
        <w:rPr>
          <w:b/>
          <w:bCs/>
        </w:rPr>
        <w:t xml:space="preserve"> </w:t>
      </w:r>
      <w:proofErr w:type="spellStart"/>
      <w:r>
        <w:rPr>
          <w:b/>
          <w:bCs/>
        </w:rPr>
        <w:t>Equity</w:t>
      </w:r>
      <w:proofErr w:type="spellEnd"/>
      <w:r>
        <w:rPr>
          <w:b/>
          <w:bCs/>
        </w:rPr>
        <w:t xml:space="preserve"> </w:t>
      </w:r>
      <w:proofErr w:type="spellStart"/>
      <w:r>
        <w:rPr>
          <w:b/>
          <w:bCs/>
        </w:rPr>
        <w:t>Fund</w:t>
      </w:r>
      <w:proofErr w:type="spellEnd"/>
      <w:r>
        <w:rPr>
          <w:b/>
          <w:bCs/>
        </w:rPr>
        <w:t xml:space="preserve"> </w:t>
      </w:r>
    </w:p>
    <w:p w14:paraId="668C58FC" w14:textId="1AEF0013" w:rsidR="008F19A4" w:rsidRDefault="008F19A4" w:rsidP="003F13C4">
      <w:pPr>
        <w:rPr>
          <w:rFonts w:asciiTheme="minorHAnsi" w:hAnsiTheme="minorHAnsi" w:cstheme="minorHAnsi"/>
          <w:b/>
          <w:bCs/>
          <w:sz w:val="24"/>
          <w:szCs w:val="24"/>
        </w:rPr>
      </w:pPr>
      <w:r>
        <w:rPr>
          <w:noProof/>
        </w:rPr>
        <w:drawing>
          <wp:anchor distT="0" distB="0" distL="114300" distR="114300" simplePos="0" relativeHeight="251663360" behindDoc="0" locked="0" layoutInCell="1" allowOverlap="1" wp14:anchorId="1DA92648" wp14:editId="33D69784">
            <wp:simplePos x="0" y="0"/>
            <wp:positionH relativeFrom="column">
              <wp:posOffset>-1270</wp:posOffset>
            </wp:positionH>
            <wp:positionV relativeFrom="paragraph">
              <wp:posOffset>462280</wp:posOffset>
            </wp:positionV>
            <wp:extent cx="5759450" cy="1735455"/>
            <wp:effectExtent l="0" t="0" r="0" b="0"/>
            <wp:wrapTopAndBottom/>
            <wp:docPr id="115025929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59293" name="Obrázek 1150259293"/>
                    <pic:cNvPicPr/>
                  </pic:nvPicPr>
                  <pic:blipFill>
                    <a:blip r:embed="rId16">
                      <a:extLst>
                        <a:ext uri="{28A0092B-C50C-407E-A947-70E740481C1C}">
                          <a14:useLocalDpi xmlns:a14="http://schemas.microsoft.com/office/drawing/2010/main" val="0"/>
                        </a:ext>
                      </a:extLst>
                    </a:blip>
                    <a:stretch>
                      <a:fillRect/>
                    </a:stretch>
                  </pic:blipFill>
                  <pic:spPr>
                    <a:xfrm>
                      <a:off x="0" y="0"/>
                      <a:ext cx="5759450" cy="1735455"/>
                    </a:xfrm>
                    <a:prstGeom prst="rect">
                      <a:avLst/>
                    </a:prstGeom>
                  </pic:spPr>
                </pic:pic>
              </a:graphicData>
            </a:graphic>
          </wp:anchor>
        </w:drawing>
      </w:r>
      <w:r w:rsidRPr="008F19A4">
        <w:rPr>
          <w:rFonts w:asciiTheme="minorHAnsi" w:hAnsiTheme="minorHAnsi" w:cstheme="minorHAnsi"/>
          <w:b/>
          <w:bCs/>
          <w:sz w:val="24"/>
          <w:szCs w:val="24"/>
        </w:rPr>
        <w:t>Výkonnost očištěná od poplatků do 31. března 2025 (v USD v %</w:t>
      </w:r>
      <w:r>
        <w:rPr>
          <w:rFonts w:asciiTheme="minorHAnsi" w:hAnsiTheme="minorHAnsi" w:cstheme="minorHAnsi"/>
          <w:b/>
          <w:bCs/>
          <w:sz w:val="24"/>
          <w:szCs w:val="24"/>
        </w:rPr>
        <w:t>)</w:t>
      </w:r>
    </w:p>
    <w:p w14:paraId="5C7DFFE7" w14:textId="20B4EE54" w:rsidR="00B27CF4" w:rsidRPr="00B27CF4" w:rsidRDefault="00B27CF4" w:rsidP="00B27CF4">
      <w:pPr>
        <w:pStyle w:val="F2-zkladn"/>
        <w:rPr>
          <w:i/>
          <w:iCs/>
          <w:sz w:val="16"/>
          <w:szCs w:val="16"/>
        </w:rPr>
      </w:pPr>
      <w:r w:rsidRPr="00B27CF4">
        <w:rPr>
          <w:i/>
          <w:iCs/>
          <w:noProof/>
          <w:sz w:val="16"/>
          <w:szCs w:val="16"/>
        </w:rPr>
        <w:lastRenderedPageBreak/>
        <w:drawing>
          <wp:anchor distT="0" distB="0" distL="114300" distR="114300" simplePos="0" relativeHeight="251664384" behindDoc="0" locked="0" layoutInCell="1" allowOverlap="1" wp14:anchorId="0778BDBE" wp14:editId="45D07110">
            <wp:simplePos x="0" y="0"/>
            <wp:positionH relativeFrom="column">
              <wp:posOffset>-31750</wp:posOffset>
            </wp:positionH>
            <wp:positionV relativeFrom="paragraph">
              <wp:posOffset>175260</wp:posOffset>
            </wp:positionV>
            <wp:extent cx="5759450" cy="1783715"/>
            <wp:effectExtent l="0" t="0" r="0" b="6985"/>
            <wp:wrapTopAndBottom/>
            <wp:docPr id="8708436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43666" name=""/>
                    <pic:cNvPicPr/>
                  </pic:nvPicPr>
                  <pic:blipFill>
                    <a:blip r:embed="rId17">
                      <a:extLst>
                        <a:ext uri="{28A0092B-C50C-407E-A947-70E740481C1C}">
                          <a14:useLocalDpi xmlns:a14="http://schemas.microsoft.com/office/drawing/2010/main" val="0"/>
                        </a:ext>
                      </a:extLst>
                    </a:blip>
                    <a:stretch>
                      <a:fillRect/>
                    </a:stretch>
                  </pic:blipFill>
                  <pic:spPr>
                    <a:xfrm>
                      <a:off x="0" y="0"/>
                      <a:ext cx="5759450" cy="1783715"/>
                    </a:xfrm>
                    <a:prstGeom prst="rect">
                      <a:avLst/>
                    </a:prstGeom>
                  </pic:spPr>
                </pic:pic>
              </a:graphicData>
            </a:graphic>
          </wp:anchor>
        </w:drawing>
      </w:r>
      <w:r w:rsidRPr="00B27CF4">
        <w:rPr>
          <w:i/>
          <w:iCs/>
          <w:sz w:val="16"/>
          <w:szCs w:val="16"/>
        </w:rPr>
        <w:t>Minulá výkonnost není spolehlivým ukazatelem budoucích výnosů. Výnosy fondu se mohou zvýšit nebo snížit v důsledku kolísání měny.</w:t>
      </w:r>
    </w:p>
    <w:p w14:paraId="68CF355B" w14:textId="1F55DA95" w:rsidR="00B27CF4" w:rsidRPr="00B27CF4" w:rsidRDefault="00B27CF4" w:rsidP="00B27CF4">
      <w:pPr>
        <w:pStyle w:val="F2-zkladn"/>
      </w:pPr>
      <w:r w:rsidRPr="00B27CF4">
        <w:rPr>
          <w:i/>
          <w:iCs/>
          <w:sz w:val="16"/>
          <w:szCs w:val="16"/>
        </w:rPr>
        <w:t xml:space="preserve">Zdroj: Fond je v současné době v provozu: </w:t>
      </w:r>
      <w:proofErr w:type="spellStart"/>
      <w:r w:rsidRPr="00B27CF4">
        <w:rPr>
          <w:i/>
          <w:iCs/>
          <w:sz w:val="16"/>
          <w:szCs w:val="16"/>
        </w:rPr>
        <w:t>Fidelity</w:t>
      </w:r>
      <w:proofErr w:type="spellEnd"/>
      <w:r w:rsidRPr="00B27CF4">
        <w:rPr>
          <w:i/>
          <w:iCs/>
          <w:sz w:val="16"/>
          <w:szCs w:val="16"/>
        </w:rPr>
        <w:t xml:space="preserve"> International, </w:t>
      </w:r>
      <w:proofErr w:type="spellStart"/>
      <w:r w:rsidRPr="00B27CF4">
        <w:rPr>
          <w:i/>
          <w:iCs/>
          <w:sz w:val="16"/>
          <w:szCs w:val="16"/>
        </w:rPr>
        <w:t>Morningstar</w:t>
      </w:r>
      <w:proofErr w:type="spellEnd"/>
      <w:r w:rsidRPr="00B27CF4">
        <w:rPr>
          <w:i/>
          <w:iCs/>
          <w:sz w:val="16"/>
          <w:szCs w:val="16"/>
        </w:rPr>
        <w:t xml:space="preserve">, k 31. březnu 2025, výkonnost po odečtení poplatků pro </w:t>
      </w:r>
      <w:proofErr w:type="spellStart"/>
      <w:r w:rsidRPr="00B27CF4">
        <w:rPr>
          <w:i/>
          <w:iCs/>
          <w:sz w:val="16"/>
          <w:szCs w:val="16"/>
        </w:rPr>
        <w:t>Fidelity</w:t>
      </w:r>
      <w:proofErr w:type="spellEnd"/>
      <w:r w:rsidRPr="00B27CF4">
        <w:rPr>
          <w:i/>
          <w:iCs/>
          <w:sz w:val="16"/>
          <w:szCs w:val="16"/>
        </w:rPr>
        <w:t xml:space="preserve"> </w:t>
      </w:r>
      <w:proofErr w:type="spellStart"/>
      <w:proofErr w:type="gramStart"/>
      <w:r w:rsidRPr="00B27CF4">
        <w:rPr>
          <w:i/>
          <w:iCs/>
          <w:sz w:val="16"/>
          <w:szCs w:val="16"/>
        </w:rPr>
        <w:t>Funds</w:t>
      </w:r>
      <w:proofErr w:type="spellEnd"/>
      <w:r w:rsidRPr="00B27CF4">
        <w:rPr>
          <w:i/>
          <w:iCs/>
          <w:sz w:val="16"/>
          <w:szCs w:val="16"/>
        </w:rPr>
        <w:t xml:space="preserve"> - </w:t>
      </w:r>
      <w:proofErr w:type="spellStart"/>
      <w:r w:rsidRPr="00B27CF4">
        <w:rPr>
          <w:i/>
          <w:iCs/>
          <w:sz w:val="16"/>
          <w:szCs w:val="16"/>
        </w:rPr>
        <w:t>Absolute</w:t>
      </w:r>
      <w:proofErr w:type="spellEnd"/>
      <w:proofErr w:type="gramEnd"/>
      <w:r w:rsidRPr="00B27CF4">
        <w:rPr>
          <w:i/>
          <w:iCs/>
          <w:sz w:val="16"/>
          <w:szCs w:val="16"/>
        </w:rPr>
        <w:t xml:space="preserve"> Return </w:t>
      </w:r>
      <w:proofErr w:type="spellStart"/>
      <w:r w:rsidRPr="00B27CF4">
        <w:rPr>
          <w:i/>
          <w:iCs/>
          <w:sz w:val="16"/>
          <w:szCs w:val="16"/>
        </w:rPr>
        <w:t>Global</w:t>
      </w:r>
      <w:proofErr w:type="spellEnd"/>
      <w:r w:rsidRPr="00B27CF4">
        <w:rPr>
          <w:i/>
          <w:iCs/>
          <w:sz w:val="16"/>
          <w:szCs w:val="16"/>
        </w:rPr>
        <w:t xml:space="preserve"> </w:t>
      </w:r>
      <w:proofErr w:type="spellStart"/>
      <w:r w:rsidRPr="00B27CF4">
        <w:rPr>
          <w:i/>
          <w:iCs/>
          <w:sz w:val="16"/>
          <w:szCs w:val="16"/>
        </w:rPr>
        <w:t>Equity</w:t>
      </w:r>
      <w:proofErr w:type="spellEnd"/>
      <w:r w:rsidRPr="00B27CF4">
        <w:rPr>
          <w:i/>
          <w:iCs/>
          <w:sz w:val="16"/>
          <w:szCs w:val="16"/>
        </w:rPr>
        <w:t xml:space="preserve"> </w:t>
      </w:r>
      <w:proofErr w:type="spellStart"/>
      <w:r w:rsidRPr="00B27CF4">
        <w:rPr>
          <w:i/>
          <w:iCs/>
          <w:sz w:val="16"/>
          <w:szCs w:val="16"/>
        </w:rPr>
        <w:t>Fund</w:t>
      </w:r>
      <w:proofErr w:type="spellEnd"/>
      <w:r w:rsidRPr="00B27CF4">
        <w:rPr>
          <w:i/>
          <w:iCs/>
          <w:sz w:val="16"/>
          <w:szCs w:val="16"/>
        </w:rPr>
        <w:t xml:space="preserve">, čistý reinvestovaný výnos. Měna: USD. Srovnávací referenční hodnota: USD Cash Index (SOFR Index), datum zahájení 24/09/2020. Nezahrnuje počáteční poplatky (pokud se uplatňují) pro výpočet výnosů. Celkové částky se nemusí sčítat z důvodu zaokrouhlování. *Srovnatelnou skupinou je </w:t>
      </w:r>
      <w:proofErr w:type="spellStart"/>
      <w:r w:rsidRPr="00B27CF4">
        <w:rPr>
          <w:i/>
          <w:iCs/>
          <w:sz w:val="16"/>
          <w:szCs w:val="16"/>
        </w:rPr>
        <w:t>Morningstar</w:t>
      </w:r>
      <w:proofErr w:type="spellEnd"/>
      <w:r w:rsidRPr="00B27CF4">
        <w:rPr>
          <w:i/>
          <w:iCs/>
          <w:sz w:val="16"/>
          <w:szCs w:val="16"/>
        </w:rPr>
        <w:t xml:space="preserve"> EAA </w:t>
      </w:r>
      <w:proofErr w:type="spellStart"/>
      <w:r w:rsidRPr="00B27CF4">
        <w:rPr>
          <w:i/>
          <w:iCs/>
          <w:sz w:val="16"/>
          <w:szCs w:val="16"/>
        </w:rPr>
        <w:t>Fund</w:t>
      </w:r>
      <w:proofErr w:type="spellEnd"/>
      <w:r w:rsidRPr="00B27CF4">
        <w:rPr>
          <w:i/>
          <w:iCs/>
          <w:sz w:val="16"/>
          <w:szCs w:val="16"/>
        </w:rPr>
        <w:t xml:space="preserve"> </w:t>
      </w:r>
      <w:proofErr w:type="spellStart"/>
      <w:r w:rsidRPr="00B27CF4">
        <w:rPr>
          <w:i/>
          <w:iCs/>
          <w:sz w:val="16"/>
          <w:szCs w:val="16"/>
        </w:rPr>
        <w:t>Equity</w:t>
      </w:r>
      <w:proofErr w:type="spellEnd"/>
      <w:r w:rsidRPr="00B27CF4">
        <w:rPr>
          <w:i/>
          <w:iCs/>
          <w:sz w:val="16"/>
          <w:szCs w:val="16"/>
        </w:rPr>
        <w:t xml:space="preserve"> Market </w:t>
      </w:r>
      <w:proofErr w:type="spellStart"/>
      <w:r w:rsidRPr="00B27CF4">
        <w:rPr>
          <w:i/>
          <w:iCs/>
          <w:sz w:val="16"/>
          <w:szCs w:val="16"/>
        </w:rPr>
        <w:t>Neutral</w:t>
      </w:r>
      <w:proofErr w:type="spellEnd"/>
      <w:r w:rsidRPr="00B27CF4">
        <w:rPr>
          <w:i/>
          <w:iCs/>
          <w:sz w:val="16"/>
          <w:szCs w:val="16"/>
        </w:rPr>
        <w:t xml:space="preserve"> USD - srovnatelná skupina překonaná </w:t>
      </w:r>
      <w:r w:rsidR="009B5EC1">
        <w:rPr>
          <w:i/>
          <w:iCs/>
          <w:sz w:val="16"/>
          <w:szCs w:val="16"/>
        </w:rPr>
        <w:t xml:space="preserve">daty </w:t>
      </w:r>
      <w:r w:rsidRPr="00B27CF4">
        <w:rPr>
          <w:i/>
          <w:iCs/>
          <w:sz w:val="16"/>
          <w:szCs w:val="16"/>
        </w:rPr>
        <w:t>na základě výkonnosti bez poplatků. Upozorňujeme, že třída akcií Y-PF-ACC-USD není nejdražší třídou akcií</w:t>
      </w:r>
      <w:r w:rsidRPr="00B27CF4">
        <w:t>.</w:t>
      </w:r>
    </w:p>
    <w:p w14:paraId="3727E871" w14:textId="11502075" w:rsidR="00B27CF4" w:rsidRDefault="00B27CF4" w:rsidP="00B27CF4">
      <w:pPr>
        <w:rPr>
          <w:b/>
          <w:bCs/>
        </w:rPr>
      </w:pP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fondy </w:t>
      </w:r>
      <w:r w:rsidRPr="00E01FF7">
        <w:rPr>
          <w:b/>
          <w:bCs/>
        </w:rPr>
        <w:t>–</w:t>
      </w:r>
      <w:r>
        <w:rPr>
          <w:b/>
          <w:bCs/>
        </w:rPr>
        <w:t xml:space="preserve"> </w:t>
      </w:r>
      <w:proofErr w:type="spellStart"/>
      <w:r>
        <w:rPr>
          <w:b/>
          <w:bCs/>
        </w:rPr>
        <w:t>Absolute</w:t>
      </w:r>
      <w:proofErr w:type="spellEnd"/>
      <w:r>
        <w:rPr>
          <w:b/>
          <w:bCs/>
        </w:rPr>
        <w:t xml:space="preserve"> Return </w:t>
      </w:r>
      <w:proofErr w:type="spellStart"/>
      <w:r>
        <w:rPr>
          <w:b/>
          <w:bCs/>
        </w:rPr>
        <w:t>Global</w:t>
      </w:r>
      <w:proofErr w:type="spellEnd"/>
      <w:r>
        <w:rPr>
          <w:b/>
          <w:bCs/>
        </w:rPr>
        <w:t xml:space="preserve"> </w:t>
      </w:r>
      <w:proofErr w:type="spellStart"/>
      <w:r>
        <w:rPr>
          <w:b/>
          <w:bCs/>
        </w:rPr>
        <w:t>Equity</w:t>
      </w:r>
      <w:proofErr w:type="spellEnd"/>
      <w:r>
        <w:rPr>
          <w:b/>
          <w:bCs/>
        </w:rPr>
        <w:t xml:space="preserve"> </w:t>
      </w:r>
      <w:proofErr w:type="spellStart"/>
      <w:r>
        <w:rPr>
          <w:b/>
          <w:bCs/>
        </w:rPr>
        <w:t>Fund</w:t>
      </w:r>
      <w:proofErr w:type="spellEnd"/>
      <w:r>
        <w:rPr>
          <w:b/>
          <w:bCs/>
        </w:rPr>
        <w:t xml:space="preserve"> </w:t>
      </w:r>
    </w:p>
    <w:p w14:paraId="2B197B24" w14:textId="37BBC6EC" w:rsidR="008F19A4" w:rsidRPr="00B27CF4" w:rsidRDefault="00B27CF4" w:rsidP="008F19A4">
      <w:pPr>
        <w:pStyle w:val="F2-zkladn"/>
        <w:rPr>
          <w:b/>
          <w:bCs/>
        </w:rPr>
      </w:pPr>
      <w:r>
        <w:rPr>
          <w:noProof/>
        </w:rPr>
        <w:drawing>
          <wp:anchor distT="0" distB="0" distL="114300" distR="114300" simplePos="0" relativeHeight="251666432" behindDoc="0" locked="0" layoutInCell="1" allowOverlap="1" wp14:anchorId="26F0E70C" wp14:editId="356D3EE7">
            <wp:simplePos x="0" y="0"/>
            <wp:positionH relativeFrom="column">
              <wp:posOffset>82550</wp:posOffset>
            </wp:positionH>
            <wp:positionV relativeFrom="paragraph">
              <wp:posOffset>2164080</wp:posOffset>
            </wp:positionV>
            <wp:extent cx="5759450" cy="952500"/>
            <wp:effectExtent l="0" t="0" r="0" b="0"/>
            <wp:wrapTopAndBottom/>
            <wp:docPr id="164462284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22845" name="Obrázek 164462284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9450" cy="952500"/>
                    </a:xfrm>
                    <a:prstGeom prst="rect">
                      <a:avLst/>
                    </a:prstGeom>
                  </pic:spPr>
                </pic:pic>
              </a:graphicData>
            </a:graphic>
          </wp:anchor>
        </w:drawing>
      </w:r>
      <w:r>
        <w:rPr>
          <w:noProof/>
        </w:rPr>
        <w:drawing>
          <wp:anchor distT="0" distB="0" distL="114300" distR="114300" simplePos="0" relativeHeight="251665408" behindDoc="0" locked="0" layoutInCell="1" allowOverlap="1" wp14:anchorId="5D49C1B4" wp14:editId="41733408">
            <wp:simplePos x="0" y="0"/>
            <wp:positionH relativeFrom="column">
              <wp:posOffset>-16510</wp:posOffset>
            </wp:positionH>
            <wp:positionV relativeFrom="paragraph">
              <wp:posOffset>457200</wp:posOffset>
            </wp:positionV>
            <wp:extent cx="5759450" cy="1572260"/>
            <wp:effectExtent l="0" t="0" r="0" b="8890"/>
            <wp:wrapTopAndBottom/>
            <wp:docPr id="137565996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59967" name="Obrázek 1375659967"/>
                    <pic:cNvPicPr/>
                  </pic:nvPicPr>
                  <pic:blipFill>
                    <a:blip r:embed="rId19">
                      <a:extLst>
                        <a:ext uri="{28A0092B-C50C-407E-A947-70E740481C1C}">
                          <a14:useLocalDpi xmlns:a14="http://schemas.microsoft.com/office/drawing/2010/main" val="0"/>
                        </a:ext>
                      </a:extLst>
                    </a:blip>
                    <a:stretch>
                      <a:fillRect/>
                    </a:stretch>
                  </pic:blipFill>
                  <pic:spPr>
                    <a:xfrm>
                      <a:off x="0" y="0"/>
                      <a:ext cx="5759450" cy="1572260"/>
                    </a:xfrm>
                    <a:prstGeom prst="rect">
                      <a:avLst/>
                    </a:prstGeom>
                  </pic:spPr>
                </pic:pic>
              </a:graphicData>
            </a:graphic>
          </wp:anchor>
        </w:drawing>
      </w:r>
      <w:r w:rsidRPr="00B27CF4">
        <w:rPr>
          <w:b/>
          <w:bCs/>
        </w:rPr>
        <w:t>Kl</w:t>
      </w:r>
      <w:r>
        <w:rPr>
          <w:b/>
          <w:bCs/>
        </w:rPr>
        <w:t>o</w:t>
      </w:r>
      <w:r w:rsidRPr="00B27CF4">
        <w:rPr>
          <w:b/>
          <w:bCs/>
        </w:rPr>
        <w:t>uz</w:t>
      </w:r>
      <w:r>
        <w:rPr>
          <w:b/>
          <w:bCs/>
        </w:rPr>
        <w:t>a</w:t>
      </w:r>
      <w:r w:rsidRPr="00B27CF4">
        <w:rPr>
          <w:b/>
          <w:bCs/>
        </w:rPr>
        <w:t>vá 12měsíční výkonnost v USD (%), bez poplatků</w:t>
      </w:r>
    </w:p>
    <w:p w14:paraId="6DA3341A" w14:textId="77777777" w:rsidR="00B27CF4" w:rsidRPr="00B27CF4" w:rsidRDefault="00B27CF4" w:rsidP="00B27CF4">
      <w:pPr>
        <w:rPr>
          <w:i/>
          <w:iCs/>
          <w:sz w:val="16"/>
          <w:szCs w:val="16"/>
        </w:rPr>
      </w:pPr>
      <w:r w:rsidRPr="00B27CF4">
        <w:rPr>
          <w:i/>
          <w:iCs/>
          <w:sz w:val="16"/>
          <w:szCs w:val="16"/>
        </w:rPr>
        <w:t>Minulá výkonnost není spolehlivým ukazatelem budoucích výnosů. Výnosy fondu se mohou zvýšit nebo snížit v důsledku kolísání měny. Zdroj: Fond je v současné době v provozu: Fidelity International, k 31. březnu 2025, bez poplatků pro třídu akcií Y-PF-ACC-USD, čistý reinvestovaný výnos. Základ pro výpočet výkonnosti: Čistá hodnota aktiv k čisté hodnotě aktiv. Srovnávací referenční hodnota: USD Cash Index (SOFR Index), datum zahájení 24/09/2020. Nezahrnuje počáteční poplatky (pokud se uplatňují) pro výpočet výnosů. Součty se nemusí sčítat z důvodu zaokrouhlování. Upozorňujeme, že Y-PF-ACC-USD není nejdražší třídou akcií.</w:t>
      </w:r>
    </w:p>
    <w:p w14:paraId="268D272D" w14:textId="3EE95F2B" w:rsidR="0084755C" w:rsidRPr="00B27CF4" w:rsidRDefault="00B27CF4" w:rsidP="00EF3AB4">
      <w:pPr>
        <w:rPr>
          <w:i/>
          <w:iCs/>
          <w:sz w:val="16"/>
          <w:szCs w:val="16"/>
        </w:rPr>
      </w:pPr>
      <w:r w:rsidRPr="00B27CF4">
        <w:rPr>
          <w:i/>
          <w:iCs/>
          <w:sz w:val="16"/>
          <w:szCs w:val="16"/>
          <w:vertAlign w:val="superscript"/>
        </w:rPr>
        <w:t>1</w:t>
      </w:r>
      <w:r w:rsidRPr="00B27CF4">
        <w:rPr>
          <w:i/>
          <w:iCs/>
          <w:sz w:val="16"/>
          <w:szCs w:val="16"/>
        </w:rPr>
        <w:t> Obvykle se má za to, že VIX překračující hodnotu 30 je známkou zvýšeného ekonomického napětí. Příznivá úroveň je pod 20</w:t>
      </w:r>
    </w:p>
    <w:p w14:paraId="79C0EF45" w14:textId="77777777" w:rsidR="00B14448" w:rsidRDefault="006F508D" w:rsidP="002027ED">
      <w:pPr>
        <w:spacing w:before="0" w:line="240" w:lineRule="atLeast"/>
        <w:rPr>
          <w:b/>
        </w:rPr>
      </w:pPr>
      <w:r w:rsidRPr="00455A3C">
        <w:rPr>
          <w:b/>
        </w:rPr>
        <w:lastRenderedPageBreak/>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20"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lastRenderedPageBreak/>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0C6DD794" w:rsidR="00D20058" w:rsidRDefault="003F13C4" w:rsidP="00154229">
      <w:pPr>
        <w:pStyle w:val="F2-zkladn"/>
      </w:pPr>
      <w:r w:rsidRPr="003F13C4">
        <w:rPr>
          <w:lang w:val="de-AT"/>
        </w:rPr>
        <w:t>MKAT130</w:t>
      </w:r>
      <w:r w:rsidR="00B27CF4">
        <w:rPr>
          <w:lang w:val="de-AT"/>
        </w:rPr>
        <w:t>19</w:t>
      </w:r>
    </w:p>
    <w:sectPr w:rsidR="00D20058" w:rsidSect="00F50497">
      <w:headerReference w:type="default" r:id="rId21"/>
      <w:footerReference w:type="default" r:id="rId22"/>
      <w:headerReference w:type="first" r:id="rId2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1FCD8" w14:textId="77777777" w:rsidR="00A92FDC" w:rsidRDefault="00A92FDC">
      <w:r>
        <w:separator/>
      </w:r>
    </w:p>
  </w:endnote>
  <w:endnote w:type="continuationSeparator" w:id="0">
    <w:p w14:paraId="3E74FB77" w14:textId="77777777" w:rsidR="00A92FDC" w:rsidRDefault="00A9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9FC0A" w14:textId="77777777" w:rsidR="00A92FDC" w:rsidRDefault="00A92FDC">
      <w:r>
        <w:separator/>
      </w:r>
    </w:p>
  </w:footnote>
  <w:footnote w:type="continuationSeparator" w:id="0">
    <w:p w14:paraId="1BE30CB9" w14:textId="77777777" w:rsidR="00A92FDC" w:rsidRDefault="00A92FDC">
      <w:r>
        <w:continuationSeparator/>
      </w:r>
    </w:p>
  </w:footnote>
  <w:footnote w:type="continuationNotice" w:id="1">
    <w:p w14:paraId="73A8201A" w14:textId="77777777" w:rsidR="00A92FDC" w:rsidRDefault="00A92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05D"/>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482"/>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7F"/>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6A52"/>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0994"/>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15A"/>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2B6E"/>
    <w:rsid w:val="008D6465"/>
    <w:rsid w:val="008E150C"/>
    <w:rsid w:val="008E1EFC"/>
    <w:rsid w:val="008E4F5C"/>
    <w:rsid w:val="008E58BF"/>
    <w:rsid w:val="008F0512"/>
    <w:rsid w:val="008F19A4"/>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5EC1"/>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87D4F"/>
    <w:rsid w:val="00A92670"/>
    <w:rsid w:val="00A92FDC"/>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27CF4"/>
    <w:rsid w:val="00B31421"/>
    <w:rsid w:val="00B31D2B"/>
    <w:rsid w:val="00B31E2C"/>
    <w:rsid w:val="00B32E44"/>
    <w:rsid w:val="00B336AA"/>
    <w:rsid w:val="00B34173"/>
    <w:rsid w:val="00B34B98"/>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1FF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6259287">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9639357">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65262955">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589004206">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777919185">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940525266">
      <w:bodyDiv w:val="1"/>
      <w:marLeft w:val="0"/>
      <w:marRight w:val="0"/>
      <w:marTop w:val="0"/>
      <w:marBottom w:val="0"/>
      <w:divBdr>
        <w:top w:val="none" w:sz="0" w:space="0" w:color="auto"/>
        <w:left w:val="none" w:sz="0" w:space="0" w:color="auto"/>
        <w:bottom w:val="none" w:sz="0" w:space="0" w:color="auto"/>
        <w:right w:val="none" w:sz="0" w:space="0" w:color="auto"/>
      </w:divBdr>
    </w:div>
    <w:div w:id="954479567">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3885199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59055571">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79514735">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54723787">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69996362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88046704">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099010958">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eliska.krohova@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2340</Words>
  <Characters>13809</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16117</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2025-06-04T11:01:00Z</dcterms:created>
  <dcterms:modified xsi:type="dcterms:W3CDTF">2025-06-04T11:01:00Z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